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50D1A" w14:textId="77777777" w:rsidR="009A35ED" w:rsidRDefault="00000000">
      <w:pPr>
        <w:pStyle w:val="Naslov1"/>
        <w:numPr>
          <w:ilvl w:val="0"/>
          <w:numId w:val="0"/>
        </w:numPr>
      </w:pPr>
      <w:bookmarkStart w:id="0" w:name="_Toc42488069"/>
      <w:r>
        <w:t>A.</w:t>
      </w:r>
      <w:r>
        <w:tab/>
        <w:t>INSTRUCTIONS TO TENDERERS</w:t>
      </w:r>
      <w:bookmarkEnd w:id="0"/>
    </w:p>
    <w:p w14:paraId="291E0E44" w14:textId="77777777" w:rsidR="00A3328F" w:rsidRPr="00A3328F" w:rsidRDefault="00A3328F" w:rsidP="00A3328F">
      <w:pPr>
        <w:spacing w:after="240"/>
        <w:jc w:val="center"/>
        <w:rPr>
          <w:b/>
          <w:bCs/>
          <w:szCs w:val="24"/>
        </w:rPr>
      </w:pPr>
      <w:bookmarkStart w:id="1" w:name="_Hlk211408016"/>
      <w:r w:rsidRPr="00A3328F">
        <w:rPr>
          <w:b/>
          <w:bCs/>
          <w:szCs w:val="24"/>
        </w:rPr>
        <w:t>The Procurement of Modern Ultrasound System for Cardiovascular Diagnostic</w:t>
      </w:r>
    </w:p>
    <w:bookmarkEnd w:id="1"/>
    <w:p w14:paraId="5200FEDD" w14:textId="2294E8BB" w:rsidR="009A35ED" w:rsidRDefault="00000000">
      <w:pPr>
        <w:spacing w:after="240"/>
        <w:jc w:val="center"/>
        <w:rPr>
          <w:rStyle w:val="Naglaeno"/>
          <w:szCs w:val="24"/>
        </w:rPr>
      </w:pPr>
      <w:r w:rsidRPr="00AD2A25">
        <w:rPr>
          <w:rStyle w:val="Naglaeno"/>
          <w:szCs w:val="24"/>
        </w:rPr>
        <w:t xml:space="preserve">Ref. </w:t>
      </w:r>
      <w:r w:rsidRPr="00256146">
        <w:rPr>
          <w:rStyle w:val="Naglaeno"/>
          <w:szCs w:val="24"/>
        </w:rPr>
        <w:t>number</w:t>
      </w:r>
      <w:r w:rsidR="000D0DE0" w:rsidRPr="00256146">
        <w:rPr>
          <w:rStyle w:val="Naglaeno"/>
          <w:szCs w:val="24"/>
        </w:rPr>
        <w:t>: 01-11-</w:t>
      </w:r>
      <w:r w:rsidR="004C7DA2">
        <w:rPr>
          <w:rStyle w:val="Naglaeno"/>
          <w:szCs w:val="24"/>
        </w:rPr>
        <w:t>6882/26</w:t>
      </w:r>
    </w:p>
    <w:p w14:paraId="0B3E3F40" w14:textId="77777777" w:rsidR="009A35ED" w:rsidRDefault="00000000">
      <w:pPr>
        <w:pStyle w:val="Podnaslov"/>
        <w:spacing w:before="0" w:after="240"/>
        <w:jc w:val="both"/>
        <w:rPr>
          <w:rFonts w:ascii="Times New Roman" w:hAnsi="Times New Roman"/>
          <w:sz w:val="22"/>
          <w:lang w:val="en-GB"/>
        </w:rPr>
      </w:pPr>
      <w:r>
        <w:rPr>
          <w:rFonts w:ascii="Times New Roman" w:hAnsi="Times New Roman"/>
          <w:sz w:val="22"/>
          <w:lang w:val="en-GB"/>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6E0D415B" w14:textId="77777777" w:rsidR="009A35ED" w:rsidRDefault="00000000">
      <w:pPr>
        <w:pStyle w:val="Podnaslov"/>
        <w:spacing w:before="0" w:after="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Practical Guide, which is applicable to this call (available on the Internet at:</w:t>
      </w:r>
      <w:r>
        <w:t xml:space="preserve"> </w:t>
      </w:r>
      <w:hyperlink r:id="rId8">
        <w:r w:rsidR="009A35ED">
          <w:rPr>
            <w:rStyle w:val="Hiperveza"/>
            <w:rFonts w:ascii="Times New Roman" w:hAnsi="Times New Roman"/>
            <w:sz w:val="22"/>
            <w:szCs w:val="22"/>
            <w:lang w:val="en-GB"/>
          </w:rPr>
          <w:t>https://wikis.ec.europa.eu/display/ExactExternalWiki/ePRAG</w:t>
        </w:r>
      </w:hyperlink>
      <w:r>
        <w:rPr>
          <w:rFonts w:ascii="Times New Roman" w:hAnsi="Times New Roman"/>
          <w:sz w:val="22"/>
          <w:szCs w:val="22"/>
          <w:lang w:val="en-GB"/>
        </w:rPr>
        <w:t xml:space="preserve"> ).</w:t>
      </w:r>
    </w:p>
    <w:p w14:paraId="0D91285D" w14:textId="77777777" w:rsidR="009A35ED" w:rsidRDefault="00000000">
      <w:pPr>
        <w:pStyle w:val="Naslov1"/>
        <w:numPr>
          <w:ilvl w:val="0"/>
          <w:numId w:val="2"/>
        </w:numPr>
      </w:pPr>
      <w:bookmarkStart w:id="2" w:name="_Toc42488070"/>
      <w:proofErr w:type="gramStart"/>
      <w:r>
        <w:t>Supplies</w:t>
      </w:r>
      <w:proofErr w:type="gramEnd"/>
      <w:r>
        <w:t xml:space="preserve"> to be provided</w:t>
      </w:r>
      <w:bookmarkEnd w:id="2"/>
    </w:p>
    <w:p w14:paraId="02F18E8E" w14:textId="596E0513" w:rsidR="00C50E02" w:rsidRDefault="009A6E60" w:rsidP="00C50E02">
      <w:r w:rsidRPr="009A6E60">
        <w:rPr>
          <w:rFonts w:ascii="Times New Roman" w:hAnsi="Times New Roman"/>
          <w:sz w:val="22"/>
        </w:rPr>
        <w:t>The subject of the contract is the supply, delivery</w:t>
      </w:r>
      <w:r>
        <w:rPr>
          <w:rFonts w:ascii="Times New Roman" w:hAnsi="Times New Roman"/>
          <w:sz w:val="22"/>
        </w:rPr>
        <w:t xml:space="preserve">, </w:t>
      </w:r>
      <w:r w:rsidRPr="009A6E60">
        <w:rPr>
          <w:rFonts w:ascii="Times New Roman" w:hAnsi="Times New Roman"/>
          <w:sz w:val="22"/>
        </w:rPr>
        <w:t>installatio</w:t>
      </w:r>
      <w:r>
        <w:rPr>
          <w:rFonts w:ascii="Times New Roman" w:hAnsi="Times New Roman"/>
          <w:sz w:val="22"/>
        </w:rPr>
        <w:t>n</w:t>
      </w:r>
      <w:r w:rsidRPr="009A6E60">
        <w:rPr>
          <w:rFonts w:ascii="Times New Roman" w:hAnsi="Times New Roman"/>
          <w:sz w:val="22"/>
        </w:rPr>
        <w:t xml:space="preserve"> by the Contractor of the following goods</w:t>
      </w:r>
    </w:p>
    <w:p w14:paraId="3FD992D2" w14:textId="77777777" w:rsidR="00C50E02" w:rsidRDefault="00C50E02" w:rsidP="00C50E02"/>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09"/>
        <w:gridCol w:w="7512"/>
      </w:tblGrid>
      <w:tr w:rsidR="004C7DA2" w:rsidRPr="00C3418B" w14:paraId="6AECC5E7" w14:textId="77777777" w:rsidTr="004C7DA2">
        <w:tc>
          <w:tcPr>
            <w:tcW w:w="1163" w:type="dxa"/>
            <w:tcBorders>
              <w:top w:val="single" w:sz="4" w:space="0" w:color="auto"/>
              <w:left w:val="single" w:sz="4" w:space="0" w:color="auto"/>
              <w:bottom w:val="single" w:sz="4" w:space="0" w:color="auto"/>
              <w:right w:val="single" w:sz="4" w:space="0" w:color="auto"/>
            </w:tcBorders>
            <w:vAlign w:val="center"/>
            <w:hideMark/>
          </w:tcPr>
          <w:p w14:paraId="01D8C9FE" w14:textId="77777777" w:rsidR="004C7DA2" w:rsidRPr="00C3418B" w:rsidRDefault="004C7DA2" w:rsidP="004C7DA2">
            <w:pPr>
              <w:tabs>
                <w:tab w:val="left" w:pos="1440"/>
              </w:tabs>
              <w:spacing w:before="0"/>
              <w:jc w:val="center"/>
              <w:rPr>
                <w:rFonts w:ascii="Times New Roman" w:eastAsia="Calibri" w:hAnsi="Times New Roman"/>
                <w:b/>
                <w:bCs/>
                <w:sz w:val="18"/>
                <w:szCs w:val="18"/>
                <w:lang w:val="sr-Latn-RS" w:eastAsia="ar-SA"/>
              </w:rPr>
            </w:pPr>
            <w:proofErr w:type="spellStart"/>
            <w:r w:rsidRPr="00C3418B">
              <w:rPr>
                <w:rFonts w:ascii="Times New Roman" w:hAnsi="Times New Roman"/>
                <w:b/>
                <w:bCs/>
                <w:sz w:val="18"/>
                <w:szCs w:val="18"/>
                <w:lang w:val="sr-Latn-RS" w:eastAsia="ar-SA"/>
              </w:rPr>
              <w:t>Item</w:t>
            </w:r>
            <w:proofErr w:type="spellEnd"/>
            <w:r w:rsidRPr="00C3418B">
              <w:rPr>
                <w:rFonts w:ascii="Times New Roman" w:hAnsi="Times New Roman"/>
                <w:b/>
                <w:bCs/>
                <w:sz w:val="18"/>
                <w:szCs w:val="18"/>
                <w:lang w:val="sr-Latn-RS" w:eastAsia="ar-SA"/>
              </w:rPr>
              <w:t xml:space="preserve"> </w:t>
            </w:r>
            <w:proofErr w:type="spellStart"/>
            <w:r w:rsidRPr="00C3418B">
              <w:rPr>
                <w:rFonts w:ascii="Times New Roman" w:hAnsi="Times New Roman"/>
                <w:b/>
                <w:bCs/>
                <w:sz w:val="18"/>
                <w:szCs w:val="18"/>
                <w:lang w:val="sr-Latn-RS" w:eastAsia="ar-SA"/>
              </w:rPr>
              <w:t>number</w:t>
            </w:r>
            <w:proofErr w:type="spellEnd"/>
            <w:r w:rsidRPr="00C3418B">
              <w:rPr>
                <w:rFonts w:ascii="Times New Roman" w:hAnsi="Times New Roman"/>
                <w:b/>
                <w:bCs/>
                <w:sz w:val="18"/>
                <w:szCs w:val="18"/>
                <w:lang w:val="sr-Latn-RS" w:eastAsia="ar-SA"/>
              </w:rPr>
              <w:t>.</w:t>
            </w: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74C9CEAA" w14:textId="77777777" w:rsidR="004C7DA2" w:rsidRPr="00C3418B" w:rsidRDefault="004C7DA2" w:rsidP="004C7DA2">
            <w:pPr>
              <w:tabs>
                <w:tab w:val="left" w:pos="1440"/>
              </w:tabs>
              <w:spacing w:before="0"/>
              <w:jc w:val="center"/>
              <w:rPr>
                <w:rFonts w:ascii="Times New Roman" w:hAnsi="Times New Roman"/>
                <w:b/>
                <w:noProof/>
                <w:sz w:val="18"/>
                <w:szCs w:val="18"/>
                <w:lang w:eastAsia="ar-SA"/>
              </w:rPr>
            </w:pPr>
          </w:p>
          <w:p w14:paraId="7D0A5534" w14:textId="77777777" w:rsidR="004C7DA2" w:rsidRPr="00C3418B" w:rsidRDefault="004C7DA2" w:rsidP="004C7DA2">
            <w:pPr>
              <w:tabs>
                <w:tab w:val="left" w:pos="1440"/>
              </w:tabs>
              <w:spacing w:before="0"/>
              <w:jc w:val="center"/>
              <w:rPr>
                <w:rFonts w:ascii="Times New Roman" w:eastAsia="Arial" w:hAnsi="Times New Roman"/>
                <w:b/>
                <w:sz w:val="18"/>
                <w:szCs w:val="18"/>
                <w:lang w:val="sr-Latn-RS" w:eastAsia="ar-SA"/>
              </w:rPr>
            </w:pPr>
            <w:r w:rsidRPr="00C3418B">
              <w:rPr>
                <w:rFonts w:ascii="Times New Roman" w:hAnsi="Times New Roman"/>
                <w:b/>
                <w:noProof/>
                <w:sz w:val="18"/>
                <w:szCs w:val="18"/>
                <w:lang w:eastAsia="ar-SA"/>
              </w:rPr>
              <w:t>Specifications Required</w:t>
            </w:r>
          </w:p>
        </w:tc>
      </w:tr>
      <w:tr w:rsidR="004C7DA2" w:rsidRPr="00C3418B" w14:paraId="024E0B6C" w14:textId="77777777" w:rsidTr="004C7DA2">
        <w:tc>
          <w:tcPr>
            <w:tcW w:w="1163" w:type="dxa"/>
            <w:tcBorders>
              <w:top w:val="single" w:sz="4" w:space="0" w:color="auto"/>
              <w:left w:val="single" w:sz="4" w:space="0" w:color="auto"/>
              <w:bottom w:val="single" w:sz="4" w:space="0" w:color="auto"/>
              <w:right w:val="single" w:sz="4" w:space="0" w:color="auto"/>
            </w:tcBorders>
            <w:vAlign w:val="center"/>
          </w:tcPr>
          <w:p w14:paraId="18710C82" w14:textId="77777777" w:rsidR="004C7DA2" w:rsidRPr="00C3418B" w:rsidRDefault="004C7DA2" w:rsidP="004C7DA2">
            <w:pPr>
              <w:tabs>
                <w:tab w:val="left" w:pos="1440"/>
              </w:tabs>
              <w:spacing w:before="0"/>
              <w:jc w:val="center"/>
              <w:rPr>
                <w:rFonts w:ascii="Times New Roman" w:hAnsi="Times New Roman"/>
                <w:b/>
                <w:bCs/>
                <w:sz w:val="18"/>
                <w:szCs w:val="18"/>
                <w:lang w:val="sr-Latn-RS" w:eastAsia="ar-SA"/>
              </w:rPr>
            </w:pP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43F985C2" w14:textId="77777777" w:rsidR="004C7DA2" w:rsidRPr="00C3418B" w:rsidRDefault="004C7DA2" w:rsidP="004C7DA2">
            <w:pPr>
              <w:tabs>
                <w:tab w:val="left" w:pos="1440"/>
              </w:tabs>
              <w:spacing w:before="0"/>
              <w:jc w:val="center"/>
              <w:rPr>
                <w:rFonts w:ascii="Times New Roman" w:hAnsi="Times New Roman"/>
                <w:b/>
                <w:noProof/>
                <w:sz w:val="18"/>
                <w:szCs w:val="18"/>
                <w:lang w:eastAsia="ar-SA"/>
              </w:rPr>
            </w:pPr>
            <w:r w:rsidRPr="00C3418B">
              <w:rPr>
                <w:rFonts w:ascii="Times New Roman" w:hAnsi="Times New Roman"/>
                <w:b/>
                <w:noProof/>
                <w:sz w:val="18"/>
                <w:szCs w:val="18"/>
                <w:lang w:val="en-US" w:eastAsia="ar-SA"/>
              </w:rPr>
              <w:t>Premium 4D Cardiovascular Ultrasound System</w:t>
            </w:r>
          </w:p>
        </w:tc>
      </w:tr>
      <w:tr w:rsidR="004C7DA2" w:rsidRPr="00C3418B" w14:paraId="578065EA" w14:textId="77777777" w:rsidTr="004C7DA2">
        <w:tc>
          <w:tcPr>
            <w:tcW w:w="1163" w:type="dxa"/>
            <w:tcBorders>
              <w:top w:val="single" w:sz="4" w:space="0" w:color="auto"/>
              <w:left w:val="single" w:sz="4" w:space="0" w:color="auto"/>
              <w:bottom w:val="single" w:sz="4" w:space="0" w:color="auto"/>
              <w:right w:val="single" w:sz="4" w:space="0" w:color="auto"/>
            </w:tcBorders>
          </w:tcPr>
          <w:p w14:paraId="0718E3B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w:t>
            </w:r>
          </w:p>
        </w:tc>
        <w:tc>
          <w:tcPr>
            <w:tcW w:w="8221" w:type="dxa"/>
            <w:gridSpan w:val="2"/>
            <w:tcBorders>
              <w:top w:val="single" w:sz="4" w:space="0" w:color="auto"/>
              <w:left w:val="single" w:sz="4" w:space="0" w:color="auto"/>
              <w:bottom w:val="single" w:sz="4" w:space="0" w:color="auto"/>
              <w:right w:val="single" w:sz="4" w:space="0" w:color="auto"/>
            </w:tcBorders>
          </w:tcPr>
          <w:p w14:paraId="60E5714C" w14:textId="77777777" w:rsidR="004C7DA2" w:rsidRPr="00C3418B" w:rsidRDefault="004C7DA2" w:rsidP="004C7DA2">
            <w:pPr>
              <w:tabs>
                <w:tab w:val="left" w:pos="1440"/>
              </w:tabs>
              <w:spacing w:before="0"/>
              <w:jc w:val="both"/>
              <w:rPr>
                <w:rFonts w:ascii="Times New Roman" w:eastAsia="Arial" w:hAnsi="Times New Roman"/>
                <w:noProof/>
                <w:sz w:val="18"/>
                <w:szCs w:val="18"/>
                <w:lang w:val="sr-Latn-CS" w:eastAsia="ar-SA"/>
              </w:rPr>
            </w:pPr>
            <w:r w:rsidRPr="00C3418B">
              <w:rPr>
                <w:rFonts w:ascii="Times New Roman" w:hAnsi="Times New Roman"/>
                <w:noProof/>
                <w:sz w:val="18"/>
                <w:szCs w:val="18"/>
                <w:lang w:val="en-US" w:eastAsia="ar-SA"/>
              </w:rPr>
              <w:t>Cart-based ultrasound system with ergonomic front and rear handles</w:t>
            </w:r>
          </w:p>
        </w:tc>
      </w:tr>
      <w:tr w:rsidR="004C7DA2" w:rsidRPr="00C3418B" w14:paraId="0F623B7D" w14:textId="77777777" w:rsidTr="004C7DA2">
        <w:tc>
          <w:tcPr>
            <w:tcW w:w="1163" w:type="dxa"/>
            <w:tcBorders>
              <w:top w:val="single" w:sz="4" w:space="0" w:color="auto"/>
              <w:left w:val="single" w:sz="4" w:space="0" w:color="auto"/>
              <w:bottom w:val="single" w:sz="4" w:space="0" w:color="auto"/>
              <w:right w:val="single" w:sz="4" w:space="0" w:color="auto"/>
            </w:tcBorders>
          </w:tcPr>
          <w:p w14:paraId="73D2A07D" w14:textId="77777777" w:rsidR="004C7DA2" w:rsidRPr="00C3418B" w:rsidRDefault="004C7DA2" w:rsidP="004C7DA2">
            <w:pPr>
              <w:tabs>
                <w:tab w:val="left" w:pos="1440"/>
              </w:tabs>
              <w:spacing w:before="0"/>
              <w:jc w:val="center"/>
              <w:rPr>
                <w:rFonts w:ascii="Times New Roman" w:eastAsia="Calibri" w:hAnsi="Times New Roman"/>
                <w:noProof/>
                <w:sz w:val="18"/>
                <w:szCs w:val="18"/>
                <w:lang w:val="sr-Latn-CS" w:eastAsia="ar-SA"/>
              </w:rPr>
            </w:pPr>
            <w:r w:rsidRPr="00C3418B">
              <w:rPr>
                <w:rFonts w:ascii="Times New Roman" w:eastAsia="Calibri" w:hAnsi="Times New Roman"/>
                <w:noProof/>
                <w:sz w:val="18"/>
                <w:szCs w:val="18"/>
                <w:lang w:val="sr-Latn-CS" w:eastAsia="ar-SA"/>
              </w:rPr>
              <w:t>2</w:t>
            </w:r>
          </w:p>
        </w:tc>
        <w:tc>
          <w:tcPr>
            <w:tcW w:w="8221" w:type="dxa"/>
            <w:gridSpan w:val="2"/>
            <w:tcBorders>
              <w:top w:val="single" w:sz="4" w:space="0" w:color="auto"/>
              <w:left w:val="single" w:sz="4" w:space="0" w:color="auto"/>
              <w:bottom w:val="single" w:sz="4" w:space="0" w:color="auto"/>
              <w:right w:val="single" w:sz="4" w:space="0" w:color="auto"/>
            </w:tcBorders>
            <w:hideMark/>
          </w:tcPr>
          <w:p w14:paraId="7263DD7C" w14:textId="77777777" w:rsidR="004C7DA2" w:rsidRPr="00C3418B" w:rsidRDefault="004C7DA2" w:rsidP="004C7DA2">
            <w:pPr>
              <w:tabs>
                <w:tab w:val="left" w:pos="1440"/>
              </w:tabs>
              <w:spacing w:before="0"/>
              <w:jc w:val="both"/>
              <w:rPr>
                <w:rFonts w:ascii="Times New Roman" w:eastAsia="Calibri" w:hAnsi="Times New Roman"/>
                <w:noProof/>
                <w:sz w:val="18"/>
                <w:szCs w:val="18"/>
                <w:lang w:val="sr-Latn-CS" w:eastAsia="ar-SA"/>
              </w:rPr>
            </w:pPr>
            <w:r w:rsidRPr="00C3418B">
              <w:rPr>
                <w:rFonts w:ascii="Times New Roman" w:hAnsi="Times New Roman"/>
                <w:noProof/>
                <w:sz w:val="18"/>
                <w:szCs w:val="18"/>
                <w:lang w:val="en-US" w:eastAsia="ar-SA"/>
              </w:rPr>
              <w:t>Advanced system platform with a software-based beamformer, enabling a variable number of processing channels (minimum 11,400,000) and a variable dynamic range of at least 380 dB</w:t>
            </w:r>
          </w:p>
        </w:tc>
      </w:tr>
      <w:tr w:rsidR="004C7DA2" w:rsidRPr="00C3418B" w14:paraId="3D87F603" w14:textId="77777777" w:rsidTr="004C7DA2">
        <w:tc>
          <w:tcPr>
            <w:tcW w:w="1163" w:type="dxa"/>
            <w:tcBorders>
              <w:top w:val="single" w:sz="4" w:space="0" w:color="auto"/>
              <w:left w:val="single" w:sz="4" w:space="0" w:color="auto"/>
              <w:bottom w:val="single" w:sz="4" w:space="0" w:color="auto"/>
              <w:right w:val="single" w:sz="4" w:space="0" w:color="auto"/>
            </w:tcBorders>
          </w:tcPr>
          <w:p w14:paraId="4690E2AE" w14:textId="77777777" w:rsidR="004C7DA2" w:rsidRPr="00C3418B" w:rsidRDefault="004C7DA2" w:rsidP="004C7DA2">
            <w:pPr>
              <w:tabs>
                <w:tab w:val="left" w:pos="1440"/>
              </w:tabs>
              <w:spacing w:before="0"/>
              <w:jc w:val="center"/>
              <w:rPr>
                <w:rFonts w:ascii="Times New Roman" w:eastAsia="Calibri" w:hAnsi="Times New Roman"/>
                <w:noProof/>
                <w:sz w:val="18"/>
                <w:szCs w:val="18"/>
                <w:lang w:val="sr-Latn-CS" w:eastAsia="ar-SA"/>
              </w:rPr>
            </w:pPr>
            <w:r w:rsidRPr="00C3418B">
              <w:rPr>
                <w:rFonts w:ascii="Times New Roman" w:eastAsia="Calibri" w:hAnsi="Times New Roman"/>
                <w:noProof/>
                <w:sz w:val="18"/>
                <w:szCs w:val="18"/>
                <w:lang w:val="sr-Latn-CS" w:eastAsia="ar-SA"/>
              </w:rPr>
              <w:t>3</w:t>
            </w:r>
          </w:p>
        </w:tc>
        <w:tc>
          <w:tcPr>
            <w:tcW w:w="8221" w:type="dxa"/>
            <w:gridSpan w:val="2"/>
            <w:tcBorders>
              <w:top w:val="single" w:sz="4" w:space="0" w:color="auto"/>
              <w:left w:val="single" w:sz="4" w:space="0" w:color="auto"/>
              <w:bottom w:val="single" w:sz="4" w:space="0" w:color="auto"/>
              <w:right w:val="single" w:sz="4" w:space="0" w:color="auto"/>
            </w:tcBorders>
          </w:tcPr>
          <w:p w14:paraId="3F5516DC" w14:textId="77777777" w:rsidR="004C7DA2" w:rsidRPr="00C3418B" w:rsidRDefault="004C7DA2" w:rsidP="004C7DA2">
            <w:pPr>
              <w:tabs>
                <w:tab w:val="left" w:pos="1440"/>
              </w:tabs>
              <w:spacing w:before="0"/>
              <w:jc w:val="both"/>
              <w:rPr>
                <w:rFonts w:ascii="Times New Roman" w:eastAsia="Arial" w:hAnsi="Times New Roman"/>
                <w:noProof/>
                <w:sz w:val="18"/>
                <w:szCs w:val="18"/>
                <w:lang w:val="sr-Latn-CS" w:eastAsia="ar-SA"/>
              </w:rPr>
            </w:pPr>
            <w:r w:rsidRPr="00C3418B">
              <w:rPr>
                <w:rFonts w:ascii="Times New Roman" w:hAnsi="Times New Roman"/>
                <w:noProof/>
                <w:sz w:val="18"/>
                <w:szCs w:val="18"/>
                <w:lang w:val="en-US" w:eastAsia="ar-SA"/>
              </w:rPr>
              <w:t>4 active transducer ports, excluding pencil probe connectors.</w:t>
            </w:r>
          </w:p>
        </w:tc>
      </w:tr>
      <w:tr w:rsidR="004C7DA2" w:rsidRPr="00C3418B" w14:paraId="68B6A91A" w14:textId="77777777" w:rsidTr="004C7DA2">
        <w:tc>
          <w:tcPr>
            <w:tcW w:w="1163" w:type="dxa"/>
            <w:tcBorders>
              <w:top w:val="single" w:sz="4" w:space="0" w:color="auto"/>
              <w:left w:val="single" w:sz="4" w:space="0" w:color="auto"/>
              <w:bottom w:val="single" w:sz="4" w:space="0" w:color="auto"/>
              <w:right w:val="single" w:sz="4" w:space="0" w:color="auto"/>
            </w:tcBorders>
          </w:tcPr>
          <w:p w14:paraId="23F5A1A4"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w:t>
            </w:r>
          </w:p>
        </w:tc>
        <w:tc>
          <w:tcPr>
            <w:tcW w:w="8221" w:type="dxa"/>
            <w:gridSpan w:val="2"/>
            <w:tcBorders>
              <w:top w:val="single" w:sz="4" w:space="0" w:color="auto"/>
              <w:left w:val="single" w:sz="4" w:space="0" w:color="auto"/>
              <w:bottom w:val="single" w:sz="4" w:space="0" w:color="auto"/>
              <w:right w:val="single" w:sz="4" w:space="0" w:color="auto"/>
            </w:tcBorders>
          </w:tcPr>
          <w:p w14:paraId="2146CE2C" w14:textId="77777777" w:rsidR="004C7DA2" w:rsidRPr="00C3418B" w:rsidRDefault="004C7DA2" w:rsidP="004C7DA2">
            <w:pPr>
              <w:widowControl w:val="0"/>
              <w:suppressAutoHyphens w:val="0"/>
              <w:spacing w:before="0" w:after="0"/>
              <w:ind w:right="228"/>
              <w:rPr>
                <w:rFonts w:ascii="Times New Roman" w:eastAsia="Arial" w:hAnsi="Times New Roman"/>
                <w:sz w:val="18"/>
                <w:szCs w:val="18"/>
                <w:lang w:val="sr-Cyrl-RS"/>
              </w:rPr>
            </w:pPr>
            <w:r w:rsidRPr="00C3418B">
              <w:rPr>
                <w:rFonts w:ascii="Times New Roman" w:eastAsia="Arial" w:hAnsi="Times New Roman"/>
                <w:sz w:val="18"/>
                <w:szCs w:val="18"/>
                <w:lang w:val="en-US"/>
              </w:rPr>
              <w:t>HDU LED monitor, minimum 23.8" diagonal size, mounted on a movable articulated arm, with a minimum resolution of 1920 × 1080 pixels.</w:t>
            </w:r>
          </w:p>
        </w:tc>
      </w:tr>
      <w:tr w:rsidR="004C7DA2" w:rsidRPr="00C3418B" w14:paraId="563EE277" w14:textId="77777777" w:rsidTr="004C7DA2">
        <w:tc>
          <w:tcPr>
            <w:tcW w:w="1163" w:type="dxa"/>
            <w:tcBorders>
              <w:top w:val="single" w:sz="4" w:space="0" w:color="auto"/>
              <w:left w:val="single" w:sz="4" w:space="0" w:color="auto"/>
              <w:bottom w:val="single" w:sz="4" w:space="0" w:color="auto"/>
              <w:right w:val="single" w:sz="4" w:space="0" w:color="auto"/>
            </w:tcBorders>
          </w:tcPr>
          <w:p w14:paraId="42824B3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5</w:t>
            </w:r>
          </w:p>
        </w:tc>
        <w:tc>
          <w:tcPr>
            <w:tcW w:w="8221" w:type="dxa"/>
            <w:gridSpan w:val="2"/>
            <w:tcBorders>
              <w:top w:val="single" w:sz="4" w:space="0" w:color="auto"/>
              <w:left w:val="single" w:sz="4" w:space="0" w:color="auto"/>
              <w:bottom w:val="single" w:sz="4" w:space="0" w:color="auto"/>
              <w:right w:val="single" w:sz="4" w:space="0" w:color="auto"/>
            </w:tcBorders>
          </w:tcPr>
          <w:p w14:paraId="1B8D92F2"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Integrated ultra-high-resolution LCD touch screen panel, minimum 12.1" diagonal size.</w:t>
            </w:r>
          </w:p>
        </w:tc>
      </w:tr>
      <w:tr w:rsidR="004C7DA2" w:rsidRPr="00C3418B" w14:paraId="4526EE68" w14:textId="77777777" w:rsidTr="004C7DA2">
        <w:tc>
          <w:tcPr>
            <w:tcW w:w="1163" w:type="dxa"/>
            <w:tcBorders>
              <w:top w:val="single" w:sz="4" w:space="0" w:color="auto"/>
              <w:left w:val="single" w:sz="4" w:space="0" w:color="auto"/>
              <w:bottom w:val="single" w:sz="4" w:space="0" w:color="auto"/>
              <w:right w:val="single" w:sz="4" w:space="0" w:color="auto"/>
            </w:tcBorders>
          </w:tcPr>
          <w:p w14:paraId="4582C52C"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6</w:t>
            </w:r>
          </w:p>
        </w:tc>
        <w:tc>
          <w:tcPr>
            <w:tcW w:w="8221" w:type="dxa"/>
            <w:gridSpan w:val="2"/>
            <w:tcBorders>
              <w:top w:val="single" w:sz="4" w:space="0" w:color="auto"/>
              <w:left w:val="single" w:sz="4" w:space="0" w:color="auto"/>
              <w:bottom w:val="single" w:sz="4" w:space="0" w:color="auto"/>
              <w:right w:val="single" w:sz="4" w:space="0" w:color="auto"/>
            </w:tcBorders>
          </w:tcPr>
          <w:p w14:paraId="44D30FF0" w14:textId="77777777" w:rsidR="004C7DA2" w:rsidRPr="00C3418B" w:rsidRDefault="004C7DA2" w:rsidP="004C7DA2">
            <w:pPr>
              <w:tabs>
                <w:tab w:val="left" w:pos="1440"/>
              </w:tabs>
              <w:spacing w:before="0"/>
              <w:jc w:val="both"/>
              <w:rPr>
                <w:rFonts w:ascii="Times New Roman" w:eastAsia="Arial" w:hAnsi="Times New Roman"/>
                <w:sz w:val="18"/>
                <w:szCs w:val="18"/>
                <w:lang w:val="sr-Latn-RS" w:eastAsia="ar-SA"/>
              </w:rPr>
            </w:pPr>
            <w:r w:rsidRPr="00C3418B">
              <w:rPr>
                <w:rFonts w:ascii="Times New Roman" w:hAnsi="Times New Roman"/>
                <w:sz w:val="18"/>
                <w:szCs w:val="18"/>
                <w:lang w:val="en-US" w:eastAsia="ar-SA"/>
              </w:rPr>
              <w:t>Operator control panel with an integrated or software-based alphanumeric keyboard and interactive backlighting, adjustable in height and depth, with the possibility of rotation.</w:t>
            </w:r>
          </w:p>
        </w:tc>
      </w:tr>
      <w:tr w:rsidR="004C7DA2" w:rsidRPr="00C3418B" w14:paraId="15882559" w14:textId="77777777" w:rsidTr="004C7DA2">
        <w:tc>
          <w:tcPr>
            <w:tcW w:w="1163" w:type="dxa"/>
            <w:tcBorders>
              <w:top w:val="single" w:sz="4" w:space="0" w:color="auto"/>
              <w:left w:val="single" w:sz="4" w:space="0" w:color="auto"/>
              <w:bottom w:val="single" w:sz="4" w:space="0" w:color="auto"/>
              <w:right w:val="single" w:sz="4" w:space="0" w:color="auto"/>
            </w:tcBorders>
          </w:tcPr>
          <w:p w14:paraId="0194F536"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7</w:t>
            </w:r>
          </w:p>
        </w:tc>
        <w:tc>
          <w:tcPr>
            <w:tcW w:w="8221" w:type="dxa"/>
            <w:gridSpan w:val="2"/>
            <w:tcBorders>
              <w:top w:val="single" w:sz="4" w:space="0" w:color="auto"/>
              <w:left w:val="single" w:sz="4" w:space="0" w:color="auto"/>
              <w:bottom w:val="single" w:sz="4" w:space="0" w:color="auto"/>
              <w:right w:val="single" w:sz="4" w:space="0" w:color="auto"/>
            </w:tcBorders>
          </w:tcPr>
          <w:p w14:paraId="4A8FBB89"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Maximum B-mode scanning depth of at least 50 cm, depending on the transducer</w:t>
            </w:r>
          </w:p>
        </w:tc>
      </w:tr>
      <w:tr w:rsidR="004C7DA2" w:rsidRPr="00C3418B" w14:paraId="27604BEA" w14:textId="77777777" w:rsidTr="004C7DA2">
        <w:tc>
          <w:tcPr>
            <w:tcW w:w="1163" w:type="dxa"/>
            <w:tcBorders>
              <w:top w:val="single" w:sz="4" w:space="0" w:color="auto"/>
              <w:left w:val="single" w:sz="4" w:space="0" w:color="auto"/>
              <w:bottom w:val="single" w:sz="4" w:space="0" w:color="auto"/>
              <w:right w:val="single" w:sz="4" w:space="0" w:color="auto"/>
            </w:tcBorders>
          </w:tcPr>
          <w:p w14:paraId="230D8779"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8</w:t>
            </w:r>
          </w:p>
        </w:tc>
        <w:tc>
          <w:tcPr>
            <w:tcW w:w="8221" w:type="dxa"/>
            <w:gridSpan w:val="2"/>
            <w:tcBorders>
              <w:top w:val="single" w:sz="4" w:space="0" w:color="auto"/>
              <w:left w:val="single" w:sz="4" w:space="0" w:color="auto"/>
              <w:bottom w:val="single" w:sz="4" w:space="0" w:color="auto"/>
              <w:right w:val="single" w:sz="4" w:space="0" w:color="auto"/>
            </w:tcBorders>
            <w:hideMark/>
          </w:tcPr>
          <w:p w14:paraId="5912F304" w14:textId="77777777" w:rsidR="004C7DA2" w:rsidRPr="00C3418B" w:rsidRDefault="004C7DA2" w:rsidP="004C7DA2">
            <w:pPr>
              <w:tabs>
                <w:tab w:val="left" w:pos="1440"/>
              </w:tabs>
              <w:spacing w:before="0"/>
              <w:jc w:val="both"/>
              <w:rPr>
                <w:rFonts w:ascii="Times New Roman" w:eastAsia="Calibri" w:hAnsi="Times New Roman"/>
                <w:sz w:val="18"/>
                <w:szCs w:val="18"/>
                <w:lang w:val="sr-Latn-RS" w:eastAsia="ar-SA"/>
              </w:rPr>
            </w:pPr>
            <w:r w:rsidRPr="00C3418B">
              <w:rPr>
                <w:rFonts w:ascii="Times New Roman" w:hAnsi="Times New Roman"/>
                <w:sz w:val="18"/>
                <w:szCs w:val="18"/>
                <w:lang w:val="en-US" w:eastAsia="ar-SA"/>
              </w:rPr>
              <w:t>Maximum 2D mode frame rate of at least 2500 fps, depending on the transducer, system settings, and application</w:t>
            </w:r>
          </w:p>
        </w:tc>
      </w:tr>
      <w:tr w:rsidR="004C7DA2" w:rsidRPr="00C3418B" w14:paraId="7ECA4963" w14:textId="77777777" w:rsidTr="004C7DA2">
        <w:tc>
          <w:tcPr>
            <w:tcW w:w="1163" w:type="dxa"/>
            <w:tcBorders>
              <w:top w:val="single" w:sz="4" w:space="0" w:color="auto"/>
              <w:left w:val="single" w:sz="4" w:space="0" w:color="auto"/>
              <w:bottom w:val="single" w:sz="4" w:space="0" w:color="auto"/>
              <w:right w:val="single" w:sz="4" w:space="0" w:color="auto"/>
            </w:tcBorders>
          </w:tcPr>
          <w:p w14:paraId="344D080E"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9</w:t>
            </w:r>
          </w:p>
        </w:tc>
        <w:tc>
          <w:tcPr>
            <w:tcW w:w="8221" w:type="dxa"/>
            <w:gridSpan w:val="2"/>
            <w:tcBorders>
              <w:top w:val="single" w:sz="4" w:space="0" w:color="auto"/>
              <w:left w:val="single" w:sz="4" w:space="0" w:color="auto"/>
              <w:bottom w:val="single" w:sz="4" w:space="0" w:color="auto"/>
              <w:right w:val="single" w:sz="4" w:space="0" w:color="auto"/>
            </w:tcBorders>
          </w:tcPr>
          <w:p w14:paraId="0A3AD5D5" w14:textId="77777777" w:rsidR="004C7DA2" w:rsidRPr="00C3418B" w:rsidRDefault="004C7DA2" w:rsidP="004C7DA2">
            <w:pPr>
              <w:tabs>
                <w:tab w:val="left" w:pos="1440"/>
              </w:tabs>
              <w:spacing w:before="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Maximum volume rate in 4D mode with a 4D transthoracic transducer of at least 800 volumes per second (</w:t>
            </w:r>
            <w:proofErr w:type="spellStart"/>
            <w:r w:rsidRPr="00C3418B">
              <w:rPr>
                <w:rFonts w:ascii="Times New Roman" w:hAnsi="Times New Roman"/>
                <w:color w:val="000000"/>
                <w:sz w:val="18"/>
                <w:szCs w:val="18"/>
                <w:lang w:val="en-US" w:eastAsia="ar-SA"/>
              </w:rPr>
              <w:t>vps</w:t>
            </w:r>
            <w:proofErr w:type="spellEnd"/>
            <w:r w:rsidRPr="00C3418B">
              <w:rPr>
                <w:rFonts w:ascii="Times New Roman" w:hAnsi="Times New Roman"/>
                <w:color w:val="000000"/>
                <w:sz w:val="18"/>
                <w:szCs w:val="18"/>
                <w:lang w:val="en-US" w:eastAsia="ar-SA"/>
              </w:rPr>
              <w:t>).</w:t>
            </w:r>
          </w:p>
        </w:tc>
      </w:tr>
      <w:tr w:rsidR="004C7DA2" w:rsidRPr="00C3418B" w14:paraId="6510EF09" w14:textId="77777777" w:rsidTr="004C7DA2">
        <w:tc>
          <w:tcPr>
            <w:tcW w:w="1163" w:type="dxa"/>
            <w:tcBorders>
              <w:top w:val="single" w:sz="4" w:space="0" w:color="auto"/>
              <w:left w:val="single" w:sz="4" w:space="0" w:color="auto"/>
              <w:bottom w:val="single" w:sz="4" w:space="0" w:color="auto"/>
              <w:right w:val="single" w:sz="4" w:space="0" w:color="auto"/>
            </w:tcBorders>
          </w:tcPr>
          <w:p w14:paraId="316E5C71"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10</w:t>
            </w:r>
          </w:p>
        </w:tc>
        <w:tc>
          <w:tcPr>
            <w:tcW w:w="8221" w:type="dxa"/>
            <w:gridSpan w:val="2"/>
            <w:tcBorders>
              <w:top w:val="single" w:sz="4" w:space="0" w:color="auto"/>
              <w:left w:val="single" w:sz="4" w:space="0" w:color="auto"/>
              <w:bottom w:val="single" w:sz="4" w:space="0" w:color="auto"/>
              <w:right w:val="single" w:sz="4" w:space="0" w:color="auto"/>
            </w:tcBorders>
          </w:tcPr>
          <w:p w14:paraId="71DD3017" w14:textId="77777777" w:rsidR="004C7DA2" w:rsidRPr="00C3418B" w:rsidRDefault="004C7DA2" w:rsidP="004C7DA2">
            <w:pPr>
              <w:tabs>
                <w:tab w:val="left" w:pos="1440"/>
              </w:tabs>
              <w:spacing w:before="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Maximum volume rate in 4D mode with a 4D transesophageal transducer of at least 540 volumes per second (</w:t>
            </w:r>
            <w:proofErr w:type="spellStart"/>
            <w:r w:rsidRPr="00C3418B">
              <w:rPr>
                <w:rFonts w:ascii="Times New Roman" w:hAnsi="Times New Roman"/>
                <w:color w:val="000000"/>
                <w:sz w:val="18"/>
                <w:szCs w:val="18"/>
                <w:lang w:val="en-US" w:eastAsia="ar-SA"/>
              </w:rPr>
              <w:t>vps</w:t>
            </w:r>
            <w:proofErr w:type="spellEnd"/>
            <w:r w:rsidRPr="00C3418B">
              <w:rPr>
                <w:rFonts w:ascii="Times New Roman" w:hAnsi="Times New Roman"/>
                <w:color w:val="000000"/>
                <w:sz w:val="18"/>
                <w:szCs w:val="18"/>
                <w:lang w:val="en-US" w:eastAsia="ar-SA"/>
              </w:rPr>
              <w:t>).</w:t>
            </w:r>
          </w:p>
        </w:tc>
      </w:tr>
      <w:tr w:rsidR="004C7DA2" w:rsidRPr="00C3418B" w14:paraId="77EC175C" w14:textId="77777777" w:rsidTr="004C7DA2">
        <w:tc>
          <w:tcPr>
            <w:tcW w:w="1163" w:type="dxa"/>
            <w:tcBorders>
              <w:top w:val="single" w:sz="4" w:space="0" w:color="auto"/>
              <w:left w:val="single" w:sz="4" w:space="0" w:color="auto"/>
              <w:bottom w:val="single" w:sz="4" w:space="0" w:color="auto"/>
              <w:right w:val="single" w:sz="4" w:space="0" w:color="auto"/>
            </w:tcBorders>
          </w:tcPr>
          <w:p w14:paraId="55AF16D1"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11</w:t>
            </w:r>
          </w:p>
        </w:tc>
        <w:tc>
          <w:tcPr>
            <w:tcW w:w="8221" w:type="dxa"/>
            <w:gridSpan w:val="2"/>
            <w:tcBorders>
              <w:top w:val="single" w:sz="4" w:space="0" w:color="auto"/>
              <w:left w:val="single" w:sz="4" w:space="0" w:color="auto"/>
              <w:bottom w:val="single" w:sz="4" w:space="0" w:color="auto"/>
              <w:right w:val="single" w:sz="4" w:space="0" w:color="auto"/>
            </w:tcBorders>
          </w:tcPr>
          <w:p w14:paraId="390B3501" w14:textId="77777777" w:rsidR="004C7DA2" w:rsidRPr="00C3418B" w:rsidRDefault="004C7DA2" w:rsidP="004C7DA2">
            <w:pPr>
              <w:tabs>
                <w:tab w:val="left" w:pos="1440"/>
              </w:tabs>
              <w:spacing w:before="0"/>
              <w:jc w:val="both"/>
              <w:rPr>
                <w:rFonts w:ascii="Times New Roman" w:eastAsia="Calibri" w:hAnsi="Times New Roman"/>
                <w:sz w:val="18"/>
                <w:szCs w:val="18"/>
                <w:lang w:val="sr-Latn-RS" w:eastAsia="ar-SA"/>
              </w:rPr>
            </w:pPr>
            <w:r w:rsidRPr="00C3418B">
              <w:rPr>
                <w:rFonts w:ascii="Times New Roman" w:hAnsi="Times New Roman"/>
                <w:color w:val="000000"/>
                <w:sz w:val="18"/>
                <w:szCs w:val="18"/>
                <w:lang w:val="en-US" w:eastAsia="ar-SA"/>
              </w:rPr>
              <w:t>Left ventricular opacification (LVO) using contrast agents.</w:t>
            </w:r>
          </w:p>
        </w:tc>
      </w:tr>
      <w:tr w:rsidR="004C7DA2" w:rsidRPr="00C3418B" w14:paraId="4268ADA6" w14:textId="77777777" w:rsidTr="004C7DA2">
        <w:tc>
          <w:tcPr>
            <w:tcW w:w="1163" w:type="dxa"/>
            <w:tcBorders>
              <w:top w:val="single" w:sz="4" w:space="0" w:color="auto"/>
              <w:left w:val="single" w:sz="4" w:space="0" w:color="auto"/>
              <w:bottom w:val="single" w:sz="4" w:space="0" w:color="auto"/>
              <w:right w:val="single" w:sz="4" w:space="0" w:color="auto"/>
            </w:tcBorders>
          </w:tcPr>
          <w:p w14:paraId="37492AEB"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12</w:t>
            </w:r>
          </w:p>
        </w:tc>
        <w:tc>
          <w:tcPr>
            <w:tcW w:w="8221" w:type="dxa"/>
            <w:gridSpan w:val="2"/>
            <w:tcBorders>
              <w:top w:val="single" w:sz="4" w:space="0" w:color="auto"/>
              <w:left w:val="single" w:sz="4" w:space="0" w:color="auto"/>
              <w:bottom w:val="single" w:sz="4" w:space="0" w:color="auto"/>
              <w:right w:val="single" w:sz="4" w:space="0" w:color="auto"/>
            </w:tcBorders>
          </w:tcPr>
          <w:p w14:paraId="0D005503" w14:textId="77777777" w:rsidR="004C7DA2" w:rsidRPr="00C3418B" w:rsidRDefault="004C7DA2" w:rsidP="004C7DA2">
            <w:pPr>
              <w:tabs>
                <w:tab w:val="left" w:pos="1440"/>
              </w:tabs>
              <w:spacing w:before="0"/>
              <w:jc w:val="both"/>
              <w:rPr>
                <w:rFonts w:ascii="Times New Roman" w:hAnsi="Times New Roman"/>
                <w:sz w:val="18"/>
                <w:szCs w:val="18"/>
                <w:lang w:val="sr-Latn-RS" w:eastAsia="ar-SA"/>
              </w:rPr>
            </w:pPr>
            <w:r w:rsidRPr="00C3418B">
              <w:rPr>
                <w:rFonts w:ascii="Times New Roman" w:hAnsi="Times New Roman"/>
                <w:sz w:val="18"/>
                <w:szCs w:val="18"/>
                <w:lang w:val="en-US" w:eastAsia="ar-SA"/>
              </w:rPr>
              <w:t>Advanced contrast imaging software with low mechanical index (MI) values</w:t>
            </w:r>
          </w:p>
        </w:tc>
      </w:tr>
      <w:tr w:rsidR="004C7DA2" w:rsidRPr="00C3418B" w14:paraId="01770C3B" w14:textId="77777777" w:rsidTr="004C7DA2">
        <w:tc>
          <w:tcPr>
            <w:tcW w:w="1163" w:type="dxa"/>
            <w:tcBorders>
              <w:top w:val="single" w:sz="4" w:space="0" w:color="auto"/>
              <w:left w:val="single" w:sz="4" w:space="0" w:color="auto"/>
              <w:bottom w:val="single" w:sz="4" w:space="0" w:color="auto"/>
              <w:right w:val="single" w:sz="4" w:space="0" w:color="auto"/>
            </w:tcBorders>
          </w:tcPr>
          <w:p w14:paraId="44DA9085"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13</w:t>
            </w:r>
          </w:p>
        </w:tc>
        <w:tc>
          <w:tcPr>
            <w:tcW w:w="8221" w:type="dxa"/>
            <w:gridSpan w:val="2"/>
            <w:tcBorders>
              <w:top w:val="single" w:sz="4" w:space="0" w:color="auto"/>
              <w:left w:val="single" w:sz="4" w:space="0" w:color="auto"/>
              <w:bottom w:val="single" w:sz="4" w:space="0" w:color="auto"/>
              <w:right w:val="single" w:sz="4" w:space="0" w:color="auto"/>
            </w:tcBorders>
            <w:hideMark/>
          </w:tcPr>
          <w:p w14:paraId="0FE728A5" w14:textId="77777777" w:rsidR="004C7DA2" w:rsidRPr="00C3418B" w:rsidRDefault="004C7DA2" w:rsidP="004C7DA2">
            <w:pPr>
              <w:tabs>
                <w:tab w:val="left" w:pos="1440"/>
              </w:tabs>
              <w:spacing w:before="0"/>
              <w:jc w:val="both"/>
              <w:rPr>
                <w:rFonts w:ascii="Times New Roman" w:eastAsia="Calibri" w:hAnsi="Times New Roman"/>
                <w:sz w:val="18"/>
                <w:szCs w:val="18"/>
                <w:lang w:val="sr-Latn-RS" w:eastAsia="ar-SA"/>
              </w:rPr>
            </w:pPr>
            <w:r w:rsidRPr="00C3418B">
              <w:rPr>
                <w:rFonts w:ascii="Times New Roman" w:hAnsi="Times New Roman"/>
                <w:sz w:val="18"/>
                <w:szCs w:val="18"/>
                <w:lang w:val="en-US" w:eastAsia="ar-SA"/>
              </w:rPr>
              <w:t>Automatic optimization of image quality in 2D mode</w:t>
            </w:r>
          </w:p>
        </w:tc>
      </w:tr>
      <w:tr w:rsidR="004C7DA2" w:rsidRPr="00C3418B" w14:paraId="3159D259" w14:textId="77777777" w:rsidTr="004C7DA2">
        <w:tc>
          <w:tcPr>
            <w:tcW w:w="1163" w:type="dxa"/>
            <w:tcBorders>
              <w:top w:val="single" w:sz="4" w:space="0" w:color="auto"/>
              <w:left w:val="single" w:sz="4" w:space="0" w:color="auto"/>
              <w:bottom w:val="single" w:sz="4" w:space="0" w:color="auto"/>
              <w:right w:val="single" w:sz="4" w:space="0" w:color="auto"/>
            </w:tcBorders>
          </w:tcPr>
          <w:p w14:paraId="4F1CE0F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14</w:t>
            </w:r>
          </w:p>
        </w:tc>
        <w:tc>
          <w:tcPr>
            <w:tcW w:w="8221" w:type="dxa"/>
            <w:gridSpan w:val="2"/>
            <w:tcBorders>
              <w:top w:val="single" w:sz="4" w:space="0" w:color="auto"/>
              <w:left w:val="single" w:sz="4" w:space="0" w:color="auto"/>
              <w:bottom w:val="single" w:sz="4" w:space="0" w:color="auto"/>
              <w:right w:val="single" w:sz="4" w:space="0" w:color="auto"/>
            </w:tcBorders>
          </w:tcPr>
          <w:p w14:paraId="21F03489"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Automatic spectral optimization technique activated by a single button press</w:t>
            </w:r>
          </w:p>
        </w:tc>
      </w:tr>
      <w:tr w:rsidR="004C7DA2" w:rsidRPr="00C3418B" w14:paraId="2358A548" w14:textId="77777777" w:rsidTr="004C7DA2">
        <w:tc>
          <w:tcPr>
            <w:tcW w:w="1163" w:type="dxa"/>
            <w:tcBorders>
              <w:top w:val="single" w:sz="4" w:space="0" w:color="auto"/>
              <w:left w:val="single" w:sz="4" w:space="0" w:color="auto"/>
              <w:bottom w:val="single" w:sz="4" w:space="0" w:color="auto"/>
              <w:right w:val="single" w:sz="4" w:space="0" w:color="auto"/>
            </w:tcBorders>
          </w:tcPr>
          <w:p w14:paraId="5DE7650A"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lastRenderedPageBreak/>
              <w:t>15</w:t>
            </w:r>
          </w:p>
        </w:tc>
        <w:tc>
          <w:tcPr>
            <w:tcW w:w="8221" w:type="dxa"/>
            <w:gridSpan w:val="2"/>
            <w:tcBorders>
              <w:top w:val="single" w:sz="4" w:space="0" w:color="auto"/>
              <w:left w:val="single" w:sz="4" w:space="0" w:color="auto"/>
              <w:bottom w:val="single" w:sz="4" w:space="0" w:color="auto"/>
              <w:right w:val="single" w:sz="4" w:space="0" w:color="auto"/>
            </w:tcBorders>
            <w:hideMark/>
          </w:tcPr>
          <w:p w14:paraId="111C2021" w14:textId="77777777" w:rsidR="004C7DA2" w:rsidRPr="00C3418B" w:rsidRDefault="004C7DA2" w:rsidP="004C7DA2">
            <w:pPr>
              <w:tabs>
                <w:tab w:val="left" w:pos="1440"/>
              </w:tabs>
              <w:spacing w:before="1"/>
              <w:jc w:val="both"/>
              <w:rPr>
                <w:rFonts w:ascii="Times New Roman" w:eastAsia="Calibri" w:hAnsi="Times New Roman"/>
                <w:sz w:val="18"/>
                <w:szCs w:val="18"/>
                <w:lang w:val="es-ES_tradnl" w:eastAsia="ar-SA"/>
              </w:rPr>
            </w:pPr>
            <w:r w:rsidRPr="00C3418B">
              <w:rPr>
                <w:rFonts w:ascii="Times New Roman" w:hAnsi="Times New Roman"/>
                <w:sz w:val="18"/>
                <w:szCs w:val="18"/>
                <w:lang w:val="en-US" w:eastAsia="ar-SA"/>
              </w:rPr>
              <w:t>Real-time triplex imaging with continuous-wave Doppler: 2D imaging + Color Flow Mapping (CFM) + Continuous Wave Doppler (CW).</w:t>
            </w:r>
          </w:p>
        </w:tc>
      </w:tr>
      <w:tr w:rsidR="004C7DA2" w:rsidRPr="00C3418B" w14:paraId="75F4EB1A" w14:textId="77777777" w:rsidTr="004C7DA2">
        <w:tc>
          <w:tcPr>
            <w:tcW w:w="1163" w:type="dxa"/>
            <w:tcBorders>
              <w:top w:val="single" w:sz="4" w:space="0" w:color="auto"/>
              <w:left w:val="single" w:sz="4" w:space="0" w:color="auto"/>
              <w:bottom w:val="single" w:sz="4" w:space="0" w:color="auto"/>
              <w:right w:val="single" w:sz="4" w:space="0" w:color="auto"/>
            </w:tcBorders>
          </w:tcPr>
          <w:p w14:paraId="1AC982B7"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16</w:t>
            </w:r>
          </w:p>
        </w:tc>
        <w:tc>
          <w:tcPr>
            <w:tcW w:w="8221" w:type="dxa"/>
            <w:gridSpan w:val="2"/>
            <w:tcBorders>
              <w:top w:val="single" w:sz="4" w:space="0" w:color="auto"/>
              <w:left w:val="single" w:sz="4" w:space="0" w:color="auto"/>
              <w:bottom w:val="single" w:sz="4" w:space="0" w:color="auto"/>
              <w:right w:val="single" w:sz="4" w:space="0" w:color="auto"/>
            </w:tcBorders>
          </w:tcPr>
          <w:p w14:paraId="3FA86BDD"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Advanced real-time image noise reduction technology based on pixel-level grayscale analysis.</w:t>
            </w:r>
          </w:p>
        </w:tc>
      </w:tr>
      <w:tr w:rsidR="004C7DA2" w:rsidRPr="00C3418B" w14:paraId="7B49AFF9" w14:textId="77777777" w:rsidTr="004C7DA2">
        <w:tc>
          <w:tcPr>
            <w:tcW w:w="1163" w:type="dxa"/>
            <w:tcBorders>
              <w:top w:val="single" w:sz="4" w:space="0" w:color="auto"/>
              <w:left w:val="single" w:sz="4" w:space="0" w:color="auto"/>
              <w:bottom w:val="single" w:sz="4" w:space="0" w:color="auto"/>
              <w:right w:val="single" w:sz="4" w:space="0" w:color="auto"/>
            </w:tcBorders>
          </w:tcPr>
          <w:p w14:paraId="4FEC45D9"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17</w:t>
            </w:r>
          </w:p>
        </w:tc>
        <w:tc>
          <w:tcPr>
            <w:tcW w:w="8221" w:type="dxa"/>
            <w:gridSpan w:val="2"/>
            <w:tcBorders>
              <w:top w:val="single" w:sz="4" w:space="0" w:color="auto"/>
              <w:left w:val="single" w:sz="4" w:space="0" w:color="auto"/>
              <w:bottom w:val="single" w:sz="4" w:space="0" w:color="auto"/>
              <w:right w:val="single" w:sz="4" w:space="0" w:color="auto"/>
            </w:tcBorders>
          </w:tcPr>
          <w:p w14:paraId="364063FC" w14:textId="77777777" w:rsidR="004C7DA2" w:rsidRPr="00C3418B" w:rsidRDefault="004C7DA2" w:rsidP="004C7DA2">
            <w:pPr>
              <w:tabs>
                <w:tab w:val="left" w:pos="1440"/>
              </w:tabs>
              <w:spacing w:before="0"/>
              <w:jc w:val="both"/>
              <w:rPr>
                <w:rFonts w:ascii="Times New Roman" w:eastAsia="Arial" w:hAnsi="Times New Roman"/>
                <w:color w:val="000000"/>
                <w:sz w:val="18"/>
                <w:szCs w:val="18"/>
                <w:lang w:val="sr-Cyrl-RS" w:eastAsia="ar-SA"/>
              </w:rPr>
            </w:pPr>
            <w:r w:rsidRPr="00C3418B">
              <w:rPr>
                <w:rFonts w:ascii="Times New Roman" w:hAnsi="Times New Roman"/>
                <w:color w:val="000000"/>
                <w:sz w:val="18"/>
                <w:szCs w:val="18"/>
                <w:lang w:val="x-none" w:eastAsia="ar-SA"/>
              </w:rPr>
              <w:t xml:space="preserve">Real-time </w:t>
            </w:r>
            <w:proofErr w:type="spellStart"/>
            <w:r w:rsidRPr="00C3418B">
              <w:rPr>
                <w:rFonts w:ascii="Times New Roman" w:hAnsi="Times New Roman"/>
                <w:color w:val="000000"/>
                <w:sz w:val="18"/>
                <w:szCs w:val="18"/>
                <w:lang w:val="x-none" w:eastAsia="ar-SA"/>
              </w:rPr>
              <w:t>spatial</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compounding</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technology</w:t>
            </w:r>
            <w:proofErr w:type="spellEnd"/>
            <w:r w:rsidRPr="00C3418B">
              <w:rPr>
                <w:rFonts w:ascii="Times New Roman" w:hAnsi="Times New Roman"/>
                <w:color w:val="000000"/>
                <w:sz w:val="18"/>
                <w:szCs w:val="18"/>
                <w:lang w:val="x-none" w:eastAsia="ar-SA"/>
              </w:rPr>
              <w:t xml:space="preserve"> for </w:t>
            </w:r>
            <w:proofErr w:type="spellStart"/>
            <w:r w:rsidRPr="00C3418B">
              <w:rPr>
                <w:rFonts w:ascii="Times New Roman" w:hAnsi="Times New Roman"/>
                <w:color w:val="000000"/>
                <w:sz w:val="18"/>
                <w:szCs w:val="18"/>
                <w:lang w:val="x-none" w:eastAsia="ar-SA"/>
              </w:rPr>
              <w:t>combining</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images</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acquired</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from</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different</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angles</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into</w:t>
            </w:r>
            <w:proofErr w:type="spellEnd"/>
            <w:r w:rsidRPr="00C3418B">
              <w:rPr>
                <w:rFonts w:ascii="Times New Roman" w:hAnsi="Times New Roman"/>
                <w:color w:val="000000"/>
                <w:sz w:val="18"/>
                <w:szCs w:val="18"/>
                <w:lang w:val="x-none" w:eastAsia="ar-SA"/>
              </w:rPr>
              <w:t xml:space="preserve"> a single </w:t>
            </w:r>
            <w:proofErr w:type="spellStart"/>
            <w:r w:rsidRPr="00C3418B">
              <w:rPr>
                <w:rFonts w:ascii="Times New Roman" w:hAnsi="Times New Roman"/>
                <w:color w:val="000000"/>
                <w:sz w:val="18"/>
                <w:szCs w:val="18"/>
                <w:lang w:val="x-none" w:eastAsia="ar-SA"/>
              </w:rPr>
              <w:t>enhanced</w:t>
            </w:r>
            <w:proofErr w:type="spellEnd"/>
            <w:r w:rsidRPr="00C3418B">
              <w:rPr>
                <w:rFonts w:ascii="Times New Roman" w:hAnsi="Times New Roman"/>
                <w:color w:val="000000"/>
                <w:sz w:val="18"/>
                <w:szCs w:val="18"/>
                <w:lang w:val="x-none" w:eastAsia="ar-SA"/>
              </w:rPr>
              <w:t xml:space="preserve"> </w:t>
            </w:r>
            <w:proofErr w:type="spellStart"/>
            <w:r w:rsidRPr="00C3418B">
              <w:rPr>
                <w:rFonts w:ascii="Times New Roman" w:hAnsi="Times New Roman"/>
                <w:color w:val="000000"/>
                <w:sz w:val="18"/>
                <w:szCs w:val="18"/>
                <w:lang w:val="x-none" w:eastAsia="ar-SA"/>
              </w:rPr>
              <w:t>image</w:t>
            </w:r>
            <w:proofErr w:type="spellEnd"/>
            <w:r w:rsidRPr="00C3418B">
              <w:rPr>
                <w:rFonts w:ascii="Times New Roman" w:hAnsi="Times New Roman"/>
                <w:color w:val="000000"/>
                <w:sz w:val="18"/>
                <w:szCs w:val="18"/>
                <w:lang w:val="x-none" w:eastAsia="ar-SA"/>
              </w:rPr>
              <w:t>.</w:t>
            </w:r>
          </w:p>
        </w:tc>
      </w:tr>
      <w:tr w:rsidR="004C7DA2" w:rsidRPr="00C3418B" w14:paraId="669097F2" w14:textId="77777777" w:rsidTr="004C7DA2">
        <w:tc>
          <w:tcPr>
            <w:tcW w:w="1163" w:type="dxa"/>
            <w:tcBorders>
              <w:top w:val="single" w:sz="4" w:space="0" w:color="auto"/>
              <w:left w:val="single" w:sz="4" w:space="0" w:color="auto"/>
              <w:bottom w:val="single" w:sz="4" w:space="0" w:color="auto"/>
              <w:right w:val="single" w:sz="4" w:space="0" w:color="auto"/>
            </w:tcBorders>
          </w:tcPr>
          <w:p w14:paraId="54F0EA5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18</w:t>
            </w:r>
          </w:p>
        </w:tc>
        <w:tc>
          <w:tcPr>
            <w:tcW w:w="8221" w:type="dxa"/>
            <w:gridSpan w:val="2"/>
            <w:tcBorders>
              <w:top w:val="single" w:sz="4" w:space="0" w:color="auto"/>
              <w:left w:val="single" w:sz="4" w:space="0" w:color="auto"/>
              <w:bottom w:val="single" w:sz="4" w:space="0" w:color="auto"/>
              <w:right w:val="single" w:sz="4" w:space="0" w:color="auto"/>
            </w:tcBorders>
          </w:tcPr>
          <w:p w14:paraId="395A708F" w14:textId="77777777" w:rsidR="004C7DA2" w:rsidRPr="00C3418B" w:rsidRDefault="004C7DA2" w:rsidP="004C7DA2">
            <w:pPr>
              <w:tabs>
                <w:tab w:val="left" w:pos="1440"/>
              </w:tabs>
              <w:spacing w:before="0"/>
              <w:jc w:val="both"/>
              <w:rPr>
                <w:rFonts w:ascii="Times New Roman" w:hAnsi="Times New Roman"/>
                <w:sz w:val="18"/>
                <w:szCs w:val="18"/>
                <w:lang w:val="x-none" w:eastAsia="ar-SA"/>
              </w:rPr>
            </w:pPr>
            <w:r w:rsidRPr="00C3418B">
              <w:rPr>
                <w:rFonts w:ascii="Times New Roman" w:hAnsi="Times New Roman"/>
                <w:b/>
                <w:bCs/>
                <w:sz w:val="18"/>
                <w:szCs w:val="18"/>
                <w:lang w:val="en-US" w:eastAsia="ar-SA"/>
              </w:rPr>
              <w:t>Automatic cardiac Doppler measurement function</w:t>
            </w:r>
          </w:p>
        </w:tc>
      </w:tr>
      <w:tr w:rsidR="004C7DA2" w:rsidRPr="00C3418B" w14:paraId="25E71F6D" w14:textId="77777777" w:rsidTr="004C7DA2">
        <w:tc>
          <w:tcPr>
            <w:tcW w:w="1163" w:type="dxa"/>
            <w:tcBorders>
              <w:top w:val="single" w:sz="4" w:space="0" w:color="auto"/>
              <w:left w:val="single" w:sz="4" w:space="0" w:color="auto"/>
              <w:bottom w:val="single" w:sz="4" w:space="0" w:color="auto"/>
              <w:right w:val="single" w:sz="4" w:space="0" w:color="auto"/>
            </w:tcBorders>
          </w:tcPr>
          <w:p w14:paraId="54220A83"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w:t>
            </w:r>
          </w:p>
        </w:tc>
        <w:tc>
          <w:tcPr>
            <w:tcW w:w="8221" w:type="dxa"/>
            <w:gridSpan w:val="2"/>
            <w:tcBorders>
              <w:top w:val="single" w:sz="4" w:space="0" w:color="auto"/>
              <w:left w:val="single" w:sz="4" w:space="0" w:color="auto"/>
              <w:bottom w:val="single" w:sz="4" w:space="0" w:color="auto"/>
              <w:right w:val="single" w:sz="4" w:space="0" w:color="auto"/>
            </w:tcBorders>
          </w:tcPr>
          <w:p w14:paraId="38FA1723"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The system supports operation with the following types of transducers:</w:t>
            </w:r>
          </w:p>
        </w:tc>
      </w:tr>
      <w:tr w:rsidR="004C7DA2" w:rsidRPr="00C3418B" w14:paraId="7005A341" w14:textId="77777777" w:rsidTr="004C7DA2">
        <w:tc>
          <w:tcPr>
            <w:tcW w:w="1163" w:type="dxa"/>
            <w:tcBorders>
              <w:top w:val="single" w:sz="4" w:space="0" w:color="auto"/>
              <w:left w:val="single" w:sz="4" w:space="0" w:color="auto"/>
              <w:bottom w:val="single" w:sz="4" w:space="0" w:color="auto"/>
              <w:right w:val="single" w:sz="4" w:space="0" w:color="auto"/>
            </w:tcBorders>
          </w:tcPr>
          <w:p w14:paraId="2EAD6DCB"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E59CC61"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19.1</w:t>
            </w:r>
          </w:p>
        </w:tc>
        <w:tc>
          <w:tcPr>
            <w:tcW w:w="7512" w:type="dxa"/>
            <w:tcBorders>
              <w:top w:val="single" w:sz="4" w:space="0" w:color="auto"/>
              <w:left w:val="single" w:sz="4" w:space="0" w:color="auto"/>
              <w:bottom w:val="single" w:sz="4" w:space="0" w:color="auto"/>
              <w:right w:val="single" w:sz="4" w:space="0" w:color="auto"/>
            </w:tcBorders>
            <w:hideMark/>
          </w:tcPr>
          <w:p w14:paraId="66027197"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Convex transducers</w:t>
            </w:r>
            <w:r w:rsidRPr="00C3418B">
              <w:rPr>
                <w:rFonts w:ascii="Times New Roman" w:eastAsia="Calibri" w:hAnsi="Times New Roman"/>
                <w:b/>
                <w:bCs/>
                <w:sz w:val="22"/>
                <w:szCs w:val="22"/>
                <w:lang w:val="en-US"/>
              </w:rPr>
              <w:t xml:space="preserve"> </w:t>
            </w:r>
          </w:p>
        </w:tc>
      </w:tr>
      <w:tr w:rsidR="004C7DA2" w:rsidRPr="00C3418B" w14:paraId="74562FE3" w14:textId="77777777" w:rsidTr="004C7DA2">
        <w:tc>
          <w:tcPr>
            <w:tcW w:w="1163" w:type="dxa"/>
            <w:tcBorders>
              <w:top w:val="single" w:sz="4" w:space="0" w:color="auto"/>
              <w:left w:val="single" w:sz="4" w:space="0" w:color="auto"/>
              <w:bottom w:val="single" w:sz="4" w:space="0" w:color="auto"/>
              <w:right w:val="single" w:sz="4" w:space="0" w:color="auto"/>
            </w:tcBorders>
          </w:tcPr>
          <w:p w14:paraId="2354F27F"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CE7AB9C"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19.2</w:t>
            </w:r>
          </w:p>
        </w:tc>
        <w:tc>
          <w:tcPr>
            <w:tcW w:w="7512" w:type="dxa"/>
            <w:tcBorders>
              <w:top w:val="single" w:sz="4" w:space="0" w:color="auto"/>
              <w:left w:val="single" w:sz="4" w:space="0" w:color="auto"/>
              <w:bottom w:val="single" w:sz="4" w:space="0" w:color="auto"/>
              <w:right w:val="single" w:sz="4" w:space="0" w:color="auto"/>
            </w:tcBorders>
            <w:hideMark/>
          </w:tcPr>
          <w:p w14:paraId="2EAF3F5D" w14:textId="77777777" w:rsidR="004C7DA2" w:rsidRPr="00C3418B" w:rsidRDefault="004C7DA2" w:rsidP="004C7DA2">
            <w:pPr>
              <w:widowControl w:val="0"/>
              <w:suppressAutoHyphens w:val="0"/>
              <w:spacing w:before="0" w:after="0"/>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Linear transducers</w:t>
            </w:r>
            <w:r w:rsidRPr="00C3418B">
              <w:rPr>
                <w:rFonts w:ascii="Times New Roman" w:eastAsia="Calibri" w:hAnsi="Times New Roman"/>
                <w:b/>
                <w:bCs/>
                <w:sz w:val="22"/>
                <w:szCs w:val="22"/>
                <w:lang w:val="en-US"/>
              </w:rPr>
              <w:t xml:space="preserve"> </w:t>
            </w:r>
          </w:p>
        </w:tc>
      </w:tr>
      <w:tr w:rsidR="004C7DA2" w:rsidRPr="00C3418B" w14:paraId="366543EF" w14:textId="77777777" w:rsidTr="004C7DA2">
        <w:tc>
          <w:tcPr>
            <w:tcW w:w="1163" w:type="dxa"/>
            <w:tcBorders>
              <w:top w:val="single" w:sz="4" w:space="0" w:color="auto"/>
              <w:left w:val="single" w:sz="4" w:space="0" w:color="auto"/>
              <w:bottom w:val="single" w:sz="4" w:space="0" w:color="auto"/>
              <w:right w:val="single" w:sz="4" w:space="0" w:color="auto"/>
            </w:tcBorders>
          </w:tcPr>
          <w:p w14:paraId="2977FC65"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B1A7BF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19.3</w:t>
            </w:r>
          </w:p>
        </w:tc>
        <w:tc>
          <w:tcPr>
            <w:tcW w:w="7512" w:type="dxa"/>
            <w:tcBorders>
              <w:top w:val="single" w:sz="4" w:space="0" w:color="auto"/>
              <w:left w:val="single" w:sz="4" w:space="0" w:color="auto"/>
              <w:bottom w:val="single" w:sz="4" w:space="0" w:color="auto"/>
              <w:right w:val="single" w:sz="4" w:space="0" w:color="auto"/>
            </w:tcBorders>
            <w:hideMark/>
          </w:tcPr>
          <w:p w14:paraId="4211B0CE"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Phased array transducers</w:t>
            </w:r>
            <w:r w:rsidRPr="00C3418B">
              <w:rPr>
                <w:rFonts w:ascii="Times New Roman" w:eastAsia="Calibri" w:hAnsi="Times New Roman"/>
                <w:b/>
                <w:bCs/>
                <w:sz w:val="22"/>
                <w:szCs w:val="22"/>
                <w:lang w:val="en-US"/>
              </w:rPr>
              <w:t xml:space="preserve"> </w:t>
            </w:r>
          </w:p>
        </w:tc>
      </w:tr>
      <w:tr w:rsidR="004C7DA2" w:rsidRPr="00C3418B" w14:paraId="2568143B" w14:textId="77777777" w:rsidTr="004C7DA2">
        <w:tc>
          <w:tcPr>
            <w:tcW w:w="1163" w:type="dxa"/>
            <w:tcBorders>
              <w:top w:val="single" w:sz="4" w:space="0" w:color="auto"/>
              <w:left w:val="single" w:sz="4" w:space="0" w:color="auto"/>
              <w:bottom w:val="single" w:sz="4" w:space="0" w:color="auto"/>
              <w:right w:val="single" w:sz="4" w:space="0" w:color="auto"/>
            </w:tcBorders>
          </w:tcPr>
          <w:p w14:paraId="65EBFB84"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91CF309"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19.4</w:t>
            </w:r>
          </w:p>
        </w:tc>
        <w:tc>
          <w:tcPr>
            <w:tcW w:w="7512" w:type="dxa"/>
            <w:tcBorders>
              <w:top w:val="single" w:sz="4" w:space="0" w:color="auto"/>
              <w:left w:val="single" w:sz="4" w:space="0" w:color="auto"/>
              <w:bottom w:val="single" w:sz="4" w:space="0" w:color="auto"/>
              <w:right w:val="single" w:sz="4" w:space="0" w:color="auto"/>
            </w:tcBorders>
            <w:hideMark/>
          </w:tcPr>
          <w:p w14:paraId="56A47251"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Matrix phased array transducers</w:t>
            </w:r>
            <w:r w:rsidRPr="00C3418B">
              <w:rPr>
                <w:rFonts w:ascii="Times New Roman" w:eastAsia="Calibri" w:hAnsi="Times New Roman"/>
                <w:b/>
                <w:bCs/>
                <w:sz w:val="22"/>
                <w:szCs w:val="22"/>
                <w:lang w:val="en-US"/>
              </w:rPr>
              <w:t xml:space="preserve"> </w:t>
            </w:r>
          </w:p>
        </w:tc>
      </w:tr>
      <w:tr w:rsidR="004C7DA2" w:rsidRPr="00C3418B" w14:paraId="495F6D38" w14:textId="77777777" w:rsidTr="004C7DA2">
        <w:tc>
          <w:tcPr>
            <w:tcW w:w="1163" w:type="dxa"/>
            <w:tcBorders>
              <w:top w:val="single" w:sz="4" w:space="0" w:color="auto"/>
              <w:left w:val="single" w:sz="4" w:space="0" w:color="auto"/>
              <w:bottom w:val="single" w:sz="4" w:space="0" w:color="auto"/>
              <w:right w:val="single" w:sz="4" w:space="0" w:color="auto"/>
            </w:tcBorders>
          </w:tcPr>
          <w:p w14:paraId="24DCE923"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9E8A50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19.5</w:t>
            </w:r>
          </w:p>
        </w:tc>
        <w:tc>
          <w:tcPr>
            <w:tcW w:w="7512" w:type="dxa"/>
            <w:tcBorders>
              <w:top w:val="single" w:sz="4" w:space="0" w:color="auto"/>
              <w:left w:val="single" w:sz="4" w:space="0" w:color="auto"/>
              <w:bottom w:val="single" w:sz="4" w:space="0" w:color="auto"/>
              <w:right w:val="single" w:sz="4" w:space="0" w:color="auto"/>
            </w:tcBorders>
            <w:hideMark/>
          </w:tcPr>
          <w:p w14:paraId="7D10CC8B"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TEE transducers (Transesophageal Echocardiography transducers)</w:t>
            </w:r>
            <w:r w:rsidRPr="00C3418B">
              <w:rPr>
                <w:rFonts w:ascii="Times New Roman" w:eastAsia="Calibri" w:hAnsi="Times New Roman"/>
                <w:b/>
                <w:bCs/>
                <w:sz w:val="22"/>
                <w:szCs w:val="22"/>
                <w:lang w:val="en-US"/>
              </w:rPr>
              <w:t xml:space="preserve"> </w:t>
            </w:r>
          </w:p>
        </w:tc>
      </w:tr>
      <w:tr w:rsidR="004C7DA2" w:rsidRPr="00C3418B" w14:paraId="4224127D" w14:textId="77777777" w:rsidTr="004C7DA2">
        <w:tc>
          <w:tcPr>
            <w:tcW w:w="1163" w:type="dxa"/>
            <w:tcBorders>
              <w:top w:val="single" w:sz="4" w:space="0" w:color="auto"/>
              <w:left w:val="single" w:sz="4" w:space="0" w:color="auto"/>
              <w:bottom w:val="single" w:sz="4" w:space="0" w:color="auto"/>
              <w:right w:val="single" w:sz="4" w:space="0" w:color="auto"/>
            </w:tcBorders>
          </w:tcPr>
          <w:p w14:paraId="6CEDD7B4"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B7916D6"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19.6</w:t>
            </w:r>
          </w:p>
        </w:tc>
        <w:tc>
          <w:tcPr>
            <w:tcW w:w="7512" w:type="dxa"/>
            <w:tcBorders>
              <w:top w:val="single" w:sz="4" w:space="0" w:color="auto"/>
              <w:left w:val="single" w:sz="4" w:space="0" w:color="auto"/>
              <w:bottom w:val="single" w:sz="4" w:space="0" w:color="auto"/>
              <w:right w:val="single" w:sz="4" w:space="0" w:color="auto"/>
            </w:tcBorders>
            <w:hideMark/>
          </w:tcPr>
          <w:p w14:paraId="6F6E1915"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4D TEE matrix transducers</w:t>
            </w:r>
            <w:r w:rsidRPr="00C3418B">
              <w:rPr>
                <w:rFonts w:ascii="Times New Roman" w:eastAsia="Calibri" w:hAnsi="Times New Roman"/>
                <w:b/>
                <w:bCs/>
                <w:sz w:val="22"/>
                <w:szCs w:val="22"/>
                <w:lang w:val="en-US"/>
              </w:rPr>
              <w:t xml:space="preserve"> </w:t>
            </w:r>
          </w:p>
        </w:tc>
      </w:tr>
      <w:tr w:rsidR="004C7DA2" w:rsidRPr="00C3418B" w14:paraId="3F776D4E" w14:textId="77777777" w:rsidTr="004C7DA2">
        <w:tc>
          <w:tcPr>
            <w:tcW w:w="1163" w:type="dxa"/>
            <w:tcBorders>
              <w:top w:val="single" w:sz="4" w:space="0" w:color="auto"/>
              <w:left w:val="single" w:sz="4" w:space="0" w:color="auto"/>
              <w:bottom w:val="single" w:sz="4" w:space="0" w:color="auto"/>
              <w:right w:val="single" w:sz="4" w:space="0" w:color="auto"/>
            </w:tcBorders>
          </w:tcPr>
          <w:p w14:paraId="7CE61DE6"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315EE40"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19.7</w:t>
            </w:r>
          </w:p>
        </w:tc>
        <w:tc>
          <w:tcPr>
            <w:tcW w:w="7512" w:type="dxa"/>
            <w:tcBorders>
              <w:top w:val="single" w:sz="4" w:space="0" w:color="auto"/>
              <w:left w:val="single" w:sz="4" w:space="0" w:color="auto"/>
              <w:bottom w:val="single" w:sz="4" w:space="0" w:color="auto"/>
              <w:right w:val="single" w:sz="4" w:space="0" w:color="auto"/>
            </w:tcBorders>
          </w:tcPr>
          <w:p w14:paraId="1B61E418" w14:textId="77777777" w:rsidR="004C7DA2" w:rsidRPr="00C3418B" w:rsidRDefault="004C7DA2" w:rsidP="004C7DA2">
            <w:pPr>
              <w:widowControl w:val="0"/>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b/>
                <w:bCs/>
                <w:sz w:val="22"/>
                <w:szCs w:val="22"/>
                <w:lang w:val="en-US"/>
              </w:rPr>
              <w:t xml:space="preserve">  </w:t>
            </w:r>
            <w:r w:rsidRPr="00C3418B">
              <w:rPr>
                <w:rFonts w:ascii="Times New Roman" w:eastAsia="Calibri" w:hAnsi="Times New Roman"/>
                <w:sz w:val="22"/>
                <w:szCs w:val="22"/>
                <w:lang w:val="en-US"/>
              </w:rPr>
              <w:t>Matrix linear transducers</w:t>
            </w:r>
          </w:p>
        </w:tc>
      </w:tr>
      <w:tr w:rsidR="004C7DA2" w:rsidRPr="00C3418B" w14:paraId="0BDA4377" w14:textId="77777777" w:rsidTr="004C7DA2">
        <w:tc>
          <w:tcPr>
            <w:tcW w:w="1163" w:type="dxa"/>
            <w:tcBorders>
              <w:top w:val="single" w:sz="4" w:space="0" w:color="auto"/>
              <w:left w:val="single" w:sz="4" w:space="0" w:color="auto"/>
              <w:bottom w:val="single" w:sz="4" w:space="0" w:color="auto"/>
              <w:right w:val="single" w:sz="4" w:space="0" w:color="auto"/>
            </w:tcBorders>
            <w:hideMark/>
          </w:tcPr>
          <w:p w14:paraId="63A92EF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w:t>
            </w:r>
          </w:p>
        </w:tc>
        <w:tc>
          <w:tcPr>
            <w:tcW w:w="8221" w:type="dxa"/>
            <w:gridSpan w:val="2"/>
            <w:tcBorders>
              <w:top w:val="single" w:sz="4" w:space="0" w:color="auto"/>
              <w:left w:val="single" w:sz="4" w:space="0" w:color="auto"/>
              <w:bottom w:val="single" w:sz="4" w:space="0" w:color="auto"/>
              <w:right w:val="single" w:sz="4" w:space="0" w:color="auto"/>
            </w:tcBorders>
          </w:tcPr>
          <w:p w14:paraId="6C7A92B7" w14:textId="77777777" w:rsidR="004C7DA2" w:rsidRPr="00C3418B" w:rsidRDefault="004C7DA2" w:rsidP="004C7DA2">
            <w:pPr>
              <w:tabs>
                <w:tab w:val="left" w:pos="1440"/>
              </w:tabs>
              <w:spacing w:before="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Operating modes</w:t>
            </w:r>
            <w:r w:rsidRPr="00C3418B">
              <w:rPr>
                <w:rFonts w:ascii="Times New Roman" w:hAnsi="Times New Roman"/>
                <w:sz w:val="18"/>
                <w:szCs w:val="18"/>
                <w:lang w:val="x-none" w:eastAsia="ar-SA"/>
              </w:rPr>
              <w:t>:</w:t>
            </w:r>
          </w:p>
        </w:tc>
      </w:tr>
      <w:tr w:rsidR="004C7DA2" w:rsidRPr="00C3418B" w14:paraId="00824FE0" w14:textId="77777777" w:rsidTr="004C7DA2">
        <w:tc>
          <w:tcPr>
            <w:tcW w:w="1163" w:type="dxa"/>
            <w:tcBorders>
              <w:top w:val="single" w:sz="4" w:space="0" w:color="auto"/>
              <w:left w:val="single" w:sz="4" w:space="0" w:color="auto"/>
              <w:bottom w:val="single" w:sz="4" w:space="0" w:color="auto"/>
              <w:right w:val="single" w:sz="4" w:space="0" w:color="auto"/>
            </w:tcBorders>
          </w:tcPr>
          <w:p w14:paraId="4F5AF61C"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FA06DC1"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20.1</w:t>
            </w:r>
          </w:p>
        </w:tc>
        <w:tc>
          <w:tcPr>
            <w:tcW w:w="7512" w:type="dxa"/>
            <w:tcBorders>
              <w:top w:val="single" w:sz="4" w:space="0" w:color="auto"/>
              <w:left w:val="single" w:sz="4" w:space="0" w:color="auto"/>
              <w:bottom w:val="single" w:sz="4" w:space="0" w:color="auto"/>
              <w:right w:val="single" w:sz="4" w:space="0" w:color="auto"/>
            </w:tcBorders>
            <w:hideMark/>
          </w:tcPr>
          <w:p w14:paraId="789F804B"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2D Tissue Mod (B-Mode)</w:t>
            </w:r>
          </w:p>
        </w:tc>
      </w:tr>
      <w:tr w:rsidR="004C7DA2" w:rsidRPr="00C3418B" w14:paraId="5D2D2B8A" w14:textId="77777777" w:rsidTr="004C7DA2">
        <w:tc>
          <w:tcPr>
            <w:tcW w:w="1163" w:type="dxa"/>
            <w:tcBorders>
              <w:top w:val="single" w:sz="4" w:space="0" w:color="auto"/>
              <w:left w:val="single" w:sz="4" w:space="0" w:color="auto"/>
              <w:bottom w:val="single" w:sz="4" w:space="0" w:color="auto"/>
              <w:right w:val="single" w:sz="4" w:space="0" w:color="auto"/>
            </w:tcBorders>
          </w:tcPr>
          <w:p w14:paraId="223F0078"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601C8FE"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20.2</w:t>
            </w:r>
          </w:p>
        </w:tc>
        <w:tc>
          <w:tcPr>
            <w:tcW w:w="7512" w:type="dxa"/>
            <w:tcBorders>
              <w:top w:val="single" w:sz="4" w:space="0" w:color="auto"/>
              <w:left w:val="single" w:sz="4" w:space="0" w:color="auto"/>
              <w:bottom w:val="single" w:sz="4" w:space="0" w:color="auto"/>
              <w:right w:val="single" w:sz="4" w:space="0" w:color="auto"/>
            </w:tcBorders>
            <w:hideMark/>
          </w:tcPr>
          <w:p w14:paraId="6D88B5F7"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M-Mode</w:t>
            </w:r>
          </w:p>
        </w:tc>
      </w:tr>
      <w:tr w:rsidR="004C7DA2" w:rsidRPr="00C3418B" w14:paraId="0EC9FA3B" w14:textId="77777777" w:rsidTr="004C7DA2">
        <w:tc>
          <w:tcPr>
            <w:tcW w:w="1163" w:type="dxa"/>
            <w:tcBorders>
              <w:top w:val="single" w:sz="4" w:space="0" w:color="auto"/>
              <w:left w:val="single" w:sz="4" w:space="0" w:color="auto"/>
              <w:bottom w:val="single" w:sz="4" w:space="0" w:color="auto"/>
              <w:right w:val="single" w:sz="4" w:space="0" w:color="auto"/>
            </w:tcBorders>
          </w:tcPr>
          <w:p w14:paraId="28EC31FD"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8467D1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20.3</w:t>
            </w:r>
          </w:p>
        </w:tc>
        <w:tc>
          <w:tcPr>
            <w:tcW w:w="7512" w:type="dxa"/>
            <w:tcBorders>
              <w:top w:val="single" w:sz="4" w:space="0" w:color="auto"/>
              <w:left w:val="single" w:sz="4" w:space="0" w:color="auto"/>
              <w:bottom w:val="single" w:sz="4" w:space="0" w:color="auto"/>
              <w:right w:val="single" w:sz="4" w:space="0" w:color="auto"/>
            </w:tcBorders>
            <w:hideMark/>
          </w:tcPr>
          <w:p w14:paraId="133AC94F" w14:textId="77777777" w:rsidR="004C7DA2" w:rsidRPr="00C3418B" w:rsidRDefault="004C7DA2" w:rsidP="004C7DA2">
            <w:pPr>
              <w:widowControl w:val="0"/>
              <w:tabs>
                <w:tab w:val="left" w:pos="1365"/>
              </w:tabs>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sz w:val="22"/>
                <w:szCs w:val="22"/>
                <w:lang w:val="en-US"/>
              </w:rPr>
              <w:t>Anatomical M-mode</w:t>
            </w:r>
            <w:r w:rsidRPr="00C3418B">
              <w:rPr>
                <w:rFonts w:ascii="Times New Roman" w:eastAsia="Calibri" w:hAnsi="Times New Roman"/>
                <w:b/>
                <w:bCs/>
                <w:sz w:val="22"/>
                <w:szCs w:val="22"/>
                <w:lang w:val="en-US"/>
              </w:rPr>
              <w:t xml:space="preserve"> </w:t>
            </w:r>
          </w:p>
        </w:tc>
      </w:tr>
      <w:tr w:rsidR="004C7DA2" w:rsidRPr="00C3418B" w14:paraId="503A9E24" w14:textId="77777777" w:rsidTr="004C7DA2">
        <w:tc>
          <w:tcPr>
            <w:tcW w:w="1163" w:type="dxa"/>
            <w:tcBorders>
              <w:top w:val="single" w:sz="4" w:space="0" w:color="auto"/>
              <w:left w:val="single" w:sz="4" w:space="0" w:color="auto"/>
              <w:bottom w:val="single" w:sz="4" w:space="0" w:color="auto"/>
              <w:right w:val="single" w:sz="4" w:space="0" w:color="auto"/>
            </w:tcBorders>
          </w:tcPr>
          <w:p w14:paraId="759150C5"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2D47D44"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20.4</w:t>
            </w:r>
          </w:p>
        </w:tc>
        <w:tc>
          <w:tcPr>
            <w:tcW w:w="7512" w:type="dxa"/>
            <w:tcBorders>
              <w:top w:val="single" w:sz="4" w:space="0" w:color="auto"/>
              <w:left w:val="single" w:sz="4" w:space="0" w:color="auto"/>
              <w:bottom w:val="single" w:sz="4" w:space="0" w:color="auto"/>
              <w:right w:val="single" w:sz="4" w:space="0" w:color="auto"/>
            </w:tcBorders>
            <w:hideMark/>
          </w:tcPr>
          <w:p w14:paraId="0CD68288" w14:textId="77777777" w:rsidR="004C7DA2" w:rsidRPr="00C3418B" w:rsidRDefault="004C7DA2" w:rsidP="004C7DA2">
            <w:pPr>
              <w:widowControl w:val="0"/>
              <w:tabs>
                <w:tab w:val="left" w:pos="1365"/>
              </w:tabs>
              <w:suppressAutoHyphens w:val="0"/>
              <w:spacing w:before="0" w:after="0" w:line="251" w:lineRule="exact"/>
              <w:ind w:left="100"/>
              <w:rPr>
                <w:rFonts w:ascii="Times New Roman" w:eastAsia="Arial" w:hAnsi="Times New Roman"/>
                <w:b/>
                <w:bCs/>
                <w:sz w:val="18"/>
                <w:szCs w:val="18"/>
                <w:lang w:val="en-US"/>
              </w:rPr>
            </w:pPr>
            <w:r w:rsidRPr="00C3418B">
              <w:rPr>
                <w:rFonts w:ascii="Times New Roman" w:eastAsia="Calibri" w:hAnsi="Times New Roman"/>
                <w:sz w:val="22"/>
                <w:szCs w:val="22"/>
                <w:lang w:val="en-US"/>
              </w:rPr>
              <w:t>Curved anatomical M-mode</w:t>
            </w:r>
          </w:p>
        </w:tc>
      </w:tr>
      <w:tr w:rsidR="004C7DA2" w:rsidRPr="00C3418B" w14:paraId="30350F52" w14:textId="77777777" w:rsidTr="004C7DA2">
        <w:tc>
          <w:tcPr>
            <w:tcW w:w="1163" w:type="dxa"/>
            <w:tcBorders>
              <w:top w:val="single" w:sz="4" w:space="0" w:color="auto"/>
              <w:left w:val="single" w:sz="4" w:space="0" w:color="auto"/>
              <w:bottom w:val="single" w:sz="4" w:space="0" w:color="auto"/>
              <w:right w:val="single" w:sz="4" w:space="0" w:color="auto"/>
            </w:tcBorders>
          </w:tcPr>
          <w:p w14:paraId="73D1BDDE"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06DD1FA"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20.5</w:t>
            </w:r>
          </w:p>
        </w:tc>
        <w:tc>
          <w:tcPr>
            <w:tcW w:w="7512" w:type="dxa"/>
            <w:tcBorders>
              <w:top w:val="single" w:sz="4" w:space="0" w:color="auto"/>
              <w:left w:val="single" w:sz="4" w:space="0" w:color="auto"/>
              <w:bottom w:val="single" w:sz="4" w:space="0" w:color="auto"/>
              <w:right w:val="single" w:sz="4" w:space="0" w:color="auto"/>
            </w:tcBorders>
            <w:hideMark/>
          </w:tcPr>
          <w:p w14:paraId="201D460E" w14:textId="77777777" w:rsidR="004C7DA2" w:rsidRPr="00C3418B" w:rsidRDefault="004C7DA2" w:rsidP="004C7DA2">
            <w:pPr>
              <w:widowControl w:val="0"/>
              <w:suppressAutoHyphens w:val="0"/>
              <w:spacing w:before="0" w:after="0"/>
              <w:ind w:left="100"/>
              <w:rPr>
                <w:rFonts w:ascii="Times New Roman" w:eastAsia="Arial" w:hAnsi="Times New Roman"/>
                <w:sz w:val="18"/>
                <w:szCs w:val="18"/>
                <w:lang w:val="en-US"/>
              </w:rPr>
            </w:pPr>
            <w:r w:rsidRPr="00C3418B">
              <w:rPr>
                <w:rFonts w:ascii="Times New Roman" w:eastAsia="Arial" w:hAnsi="Times New Roman"/>
                <w:sz w:val="18"/>
                <w:szCs w:val="18"/>
                <w:lang w:val="en-US"/>
              </w:rPr>
              <w:t>2D Color Flow Mode (CFM)</w:t>
            </w:r>
          </w:p>
        </w:tc>
      </w:tr>
      <w:tr w:rsidR="004C7DA2" w:rsidRPr="00C3418B" w14:paraId="2CFF748D" w14:textId="77777777" w:rsidTr="004C7DA2">
        <w:trPr>
          <w:trHeight w:val="287"/>
        </w:trPr>
        <w:tc>
          <w:tcPr>
            <w:tcW w:w="1163" w:type="dxa"/>
            <w:tcBorders>
              <w:top w:val="single" w:sz="4" w:space="0" w:color="auto"/>
              <w:left w:val="single" w:sz="4" w:space="0" w:color="auto"/>
              <w:bottom w:val="single" w:sz="4" w:space="0" w:color="auto"/>
              <w:right w:val="single" w:sz="4" w:space="0" w:color="auto"/>
            </w:tcBorders>
          </w:tcPr>
          <w:p w14:paraId="7E998E9B"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400DDF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20.6</w:t>
            </w:r>
          </w:p>
        </w:tc>
        <w:tc>
          <w:tcPr>
            <w:tcW w:w="7512" w:type="dxa"/>
            <w:tcBorders>
              <w:top w:val="single" w:sz="4" w:space="0" w:color="auto"/>
              <w:left w:val="single" w:sz="4" w:space="0" w:color="auto"/>
              <w:bottom w:val="single" w:sz="4" w:space="0" w:color="auto"/>
              <w:right w:val="single" w:sz="4" w:space="0" w:color="auto"/>
            </w:tcBorders>
            <w:hideMark/>
          </w:tcPr>
          <w:p w14:paraId="10516C10"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2D Angio Flow (Power Doppler)</w:t>
            </w:r>
          </w:p>
        </w:tc>
      </w:tr>
      <w:tr w:rsidR="004C7DA2" w:rsidRPr="00C3418B" w14:paraId="496E6F16" w14:textId="77777777" w:rsidTr="004C7DA2">
        <w:tc>
          <w:tcPr>
            <w:tcW w:w="1163" w:type="dxa"/>
            <w:tcBorders>
              <w:top w:val="single" w:sz="4" w:space="0" w:color="auto"/>
              <w:left w:val="single" w:sz="4" w:space="0" w:color="auto"/>
              <w:bottom w:val="single" w:sz="4" w:space="0" w:color="auto"/>
              <w:right w:val="single" w:sz="4" w:space="0" w:color="auto"/>
            </w:tcBorders>
          </w:tcPr>
          <w:p w14:paraId="5F26FD44"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5CF14CF"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20.7</w:t>
            </w:r>
          </w:p>
        </w:tc>
        <w:tc>
          <w:tcPr>
            <w:tcW w:w="7512" w:type="dxa"/>
            <w:tcBorders>
              <w:top w:val="single" w:sz="4" w:space="0" w:color="auto"/>
              <w:left w:val="single" w:sz="4" w:space="0" w:color="auto"/>
              <w:bottom w:val="single" w:sz="4" w:space="0" w:color="auto"/>
              <w:right w:val="single" w:sz="4" w:space="0" w:color="auto"/>
            </w:tcBorders>
            <w:hideMark/>
          </w:tcPr>
          <w:p w14:paraId="245E33C0"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PW Doppler</w:t>
            </w:r>
          </w:p>
        </w:tc>
      </w:tr>
      <w:tr w:rsidR="004C7DA2" w:rsidRPr="00C3418B" w14:paraId="5A4A4563" w14:textId="77777777" w:rsidTr="004C7DA2">
        <w:tc>
          <w:tcPr>
            <w:tcW w:w="1163" w:type="dxa"/>
            <w:tcBorders>
              <w:top w:val="single" w:sz="4" w:space="0" w:color="auto"/>
              <w:left w:val="single" w:sz="4" w:space="0" w:color="auto"/>
              <w:bottom w:val="single" w:sz="4" w:space="0" w:color="auto"/>
              <w:right w:val="single" w:sz="4" w:space="0" w:color="auto"/>
            </w:tcBorders>
          </w:tcPr>
          <w:p w14:paraId="2CA86BCC"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43C2B8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20.8</w:t>
            </w:r>
          </w:p>
        </w:tc>
        <w:tc>
          <w:tcPr>
            <w:tcW w:w="7512" w:type="dxa"/>
            <w:tcBorders>
              <w:top w:val="single" w:sz="4" w:space="0" w:color="auto"/>
              <w:left w:val="single" w:sz="4" w:space="0" w:color="auto"/>
              <w:bottom w:val="single" w:sz="4" w:space="0" w:color="auto"/>
              <w:right w:val="single" w:sz="4" w:space="0" w:color="auto"/>
            </w:tcBorders>
            <w:hideMark/>
          </w:tcPr>
          <w:p w14:paraId="235FB424" w14:textId="77777777" w:rsidR="004C7DA2" w:rsidRPr="00C3418B" w:rsidRDefault="004C7DA2" w:rsidP="004C7DA2">
            <w:pPr>
              <w:widowControl w:val="0"/>
              <w:suppressAutoHyphens w:val="0"/>
              <w:spacing w:before="0" w:after="0" w:line="251" w:lineRule="exact"/>
              <w:ind w:left="100"/>
              <w:rPr>
                <w:rFonts w:ascii="Times New Roman" w:eastAsia="Arial" w:hAnsi="Times New Roman"/>
                <w:sz w:val="18"/>
                <w:szCs w:val="18"/>
                <w:lang w:val="en-US"/>
              </w:rPr>
            </w:pPr>
            <w:r w:rsidRPr="00C3418B">
              <w:rPr>
                <w:rFonts w:ascii="Times New Roman" w:eastAsia="Arial" w:hAnsi="Times New Roman"/>
                <w:sz w:val="18"/>
                <w:szCs w:val="18"/>
                <w:lang w:val="en-US"/>
              </w:rPr>
              <w:t>TVI, TVD, Tissue Tracking</w:t>
            </w:r>
          </w:p>
        </w:tc>
      </w:tr>
      <w:tr w:rsidR="004C7DA2" w:rsidRPr="00C3418B" w14:paraId="50E83BD9" w14:textId="77777777" w:rsidTr="004C7DA2">
        <w:tc>
          <w:tcPr>
            <w:tcW w:w="1163" w:type="dxa"/>
            <w:tcBorders>
              <w:top w:val="single" w:sz="4" w:space="0" w:color="auto"/>
              <w:left w:val="single" w:sz="4" w:space="0" w:color="auto"/>
              <w:bottom w:val="single" w:sz="4" w:space="0" w:color="auto"/>
              <w:right w:val="single" w:sz="4" w:space="0" w:color="auto"/>
            </w:tcBorders>
          </w:tcPr>
          <w:p w14:paraId="6E54C479"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5024A2C"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20.9</w:t>
            </w:r>
          </w:p>
        </w:tc>
        <w:tc>
          <w:tcPr>
            <w:tcW w:w="7512" w:type="dxa"/>
            <w:tcBorders>
              <w:top w:val="single" w:sz="4" w:space="0" w:color="auto"/>
              <w:left w:val="single" w:sz="4" w:space="0" w:color="auto"/>
              <w:bottom w:val="single" w:sz="4" w:space="0" w:color="auto"/>
              <w:right w:val="single" w:sz="4" w:space="0" w:color="auto"/>
            </w:tcBorders>
            <w:hideMark/>
          </w:tcPr>
          <w:p w14:paraId="03E44956" w14:textId="77777777" w:rsidR="004C7DA2" w:rsidRPr="00C3418B" w:rsidRDefault="004C7DA2" w:rsidP="004C7DA2">
            <w:pPr>
              <w:widowControl w:val="0"/>
              <w:suppressAutoHyphens w:val="0"/>
              <w:spacing w:before="0" w:after="0" w:line="251" w:lineRule="exact"/>
              <w:rPr>
                <w:rFonts w:ascii="Times New Roman" w:eastAsia="Arial" w:hAnsi="Times New Roman"/>
                <w:sz w:val="18"/>
                <w:szCs w:val="18"/>
                <w:lang w:val="en-US"/>
              </w:rPr>
            </w:pPr>
            <w:r w:rsidRPr="00C3418B">
              <w:rPr>
                <w:rFonts w:ascii="Times New Roman" w:eastAsia="Arial" w:hAnsi="Times New Roman"/>
                <w:sz w:val="18"/>
                <w:szCs w:val="18"/>
                <w:lang w:val="en-US"/>
              </w:rPr>
              <w:t xml:space="preserve">  CWD</w:t>
            </w:r>
          </w:p>
        </w:tc>
      </w:tr>
      <w:tr w:rsidR="004C7DA2" w:rsidRPr="00C3418B" w14:paraId="37BD035F" w14:textId="77777777" w:rsidTr="004C7DA2">
        <w:tc>
          <w:tcPr>
            <w:tcW w:w="1163" w:type="dxa"/>
            <w:tcBorders>
              <w:top w:val="single" w:sz="4" w:space="0" w:color="auto"/>
              <w:left w:val="single" w:sz="4" w:space="0" w:color="auto"/>
              <w:bottom w:val="single" w:sz="4" w:space="0" w:color="auto"/>
              <w:right w:val="single" w:sz="4" w:space="0" w:color="auto"/>
            </w:tcBorders>
          </w:tcPr>
          <w:p w14:paraId="784CDA55"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760DB4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20.10</w:t>
            </w:r>
          </w:p>
        </w:tc>
        <w:tc>
          <w:tcPr>
            <w:tcW w:w="7512" w:type="dxa"/>
            <w:tcBorders>
              <w:top w:val="single" w:sz="4" w:space="0" w:color="auto"/>
              <w:left w:val="single" w:sz="4" w:space="0" w:color="auto"/>
              <w:bottom w:val="single" w:sz="4" w:space="0" w:color="auto"/>
              <w:right w:val="single" w:sz="4" w:space="0" w:color="auto"/>
            </w:tcBorders>
            <w:hideMark/>
          </w:tcPr>
          <w:p w14:paraId="19C9EC85" w14:textId="77777777" w:rsidR="004C7DA2" w:rsidRPr="00C3418B" w:rsidRDefault="004C7DA2" w:rsidP="004C7DA2">
            <w:pPr>
              <w:widowControl w:val="0"/>
              <w:suppressAutoHyphens w:val="0"/>
              <w:spacing w:before="0" w:after="0" w:line="251" w:lineRule="exact"/>
              <w:rPr>
                <w:rFonts w:ascii="Times New Roman" w:eastAsia="Arial" w:hAnsi="Times New Roman"/>
                <w:sz w:val="18"/>
                <w:szCs w:val="18"/>
                <w:lang w:val="en-US"/>
              </w:rPr>
            </w:pPr>
            <w:r w:rsidRPr="00C3418B">
              <w:rPr>
                <w:rFonts w:ascii="Times New Roman" w:eastAsia="Arial" w:hAnsi="Times New Roman"/>
                <w:sz w:val="18"/>
                <w:szCs w:val="18"/>
                <w:lang w:val="en-US"/>
              </w:rPr>
              <w:t xml:space="preserve">  4D Tissue</w:t>
            </w:r>
          </w:p>
        </w:tc>
      </w:tr>
      <w:tr w:rsidR="004C7DA2" w:rsidRPr="00C3418B" w14:paraId="66EB624B" w14:textId="77777777" w:rsidTr="004C7DA2">
        <w:tc>
          <w:tcPr>
            <w:tcW w:w="1163" w:type="dxa"/>
            <w:tcBorders>
              <w:top w:val="single" w:sz="4" w:space="0" w:color="auto"/>
              <w:left w:val="single" w:sz="4" w:space="0" w:color="auto"/>
              <w:bottom w:val="single" w:sz="4" w:space="0" w:color="auto"/>
              <w:right w:val="single" w:sz="4" w:space="0" w:color="auto"/>
            </w:tcBorders>
          </w:tcPr>
          <w:p w14:paraId="693728B4" w14:textId="77777777" w:rsidR="004C7DA2" w:rsidRPr="00C3418B" w:rsidRDefault="004C7DA2" w:rsidP="004C7DA2">
            <w:pPr>
              <w:tabs>
                <w:tab w:val="left" w:pos="1440"/>
              </w:tabs>
              <w:spacing w:before="0"/>
              <w:jc w:val="both"/>
              <w:rPr>
                <w:rFonts w:ascii="Times New Roman" w:eastAsia="Calibri" w:hAnsi="Times New Roman"/>
                <w:b/>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4216F64"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20.11</w:t>
            </w:r>
          </w:p>
        </w:tc>
        <w:tc>
          <w:tcPr>
            <w:tcW w:w="7512" w:type="dxa"/>
            <w:tcBorders>
              <w:top w:val="single" w:sz="4" w:space="0" w:color="auto"/>
              <w:left w:val="single" w:sz="4" w:space="0" w:color="auto"/>
              <w:bottom w:val="single" w:sz="4" w:space="0" w:color="auto"/>
              <w:right w:val="single" w:sz="4" w:space="0" w:color="auto"/>
            </w:tcBorders>
            <w:hideMark/>
          </w:tcPr>
          <w:p w14:paraId="11BAF552" w14:textId="77777777" w:rsidR="004C7DA2" w:rsidRPr="00C3418B" w:rsidRDefault="004C7DA2" w:rsidP="004C7DA2">
            <w:pPr>
              <w:widowControl w:val="0"/>
              <w:suppressAutoHyphens w:val="0"/>
              <w:spacing w:before="0" w:after="0" w:line="251" w:lineRule="exact"/>
              <w:rPr>
                <w:rFonts w:ascii="Times New Roman" w:eastAsia="Arial" w:hAnsi="Times New Roman"/>
                <w:sz w:val="18"/>
                <w:szCs w:val="18"/>
                <w:lang w:val="en-US"/>
              </w:rPr>
            </w:pPr>
            <w:r w:rsidRPr="00C3418B">
              <w:rPr>
                <w:rFonts w:ascii="Times New Roman" w:eastAsia="Arial" w:hAnsi="Times New Roman"/>
                <w:sz w:val="18"/>
                <w:szCs w:val="18"/>
                <w:lang w:val="en-US"/>
              </w:rPr>
              <w:t xml:space="preserve">  4D Color Flow</w:t>
            </w:r>
          </w:p>
        </w:tc>
      </w:tr>
      <w:tr w:rsidR="004C7DA2" w:rsidRPr="00C3418B" w14:paraId="6BCF726E" w14:textId="77777777" w:rsidTr="004C7DA2">
        <w:tc>
          <w:tcPr>
            <w:tcW w:w="1163" w:type="dxa"/>
            <w:tcBorders>
              <w:top w:val="single" w:sz="4" w:space="0" w:color="auto"/>
              <w:left w:val="single" w:sz="4" w:space="0" w:color="auto"/>
              <w:bottom w:val="single" w:sz="4" w:space="0" w:color="auto"/>
              <w:right w:val="single" w:sz="4" w:space="0" w:color="auto"/>
            </w:tcBorders>
          </w:tcPr>
          <w:p w14:paraId="6F26D52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21</w:t>
            </w:r>
          </w:p>
        </w:tc>
        <w:tc>
          <w:tcPr>
            <w:tcW w:w="8221" w:type="dxa"/>
            <w:gridSpan w:val="2"/>
            <w:tcBorders>
              <w:top w:val="single" w:sz="4" w:space="0" w:color="auto"/>
              <w:left w:val="single" w:sz="4" w:space="0" w:color="auto"/>
              <w:bottom w:val="single" w:sz="4" w:space="0" w:color="auto"/>
              <w:right w:val="single" w:sz="4" w:space="0" w:color="auto"/>
            </w:tcBorders>
          </w:tcPr>
          <w:p w14:paraId="3FCB0C75" w14:textId="77777777" w:rsidR="004C7DA2" w:rsidRPr="00C3418B" w:rsidRDefault="004C7DA2" w:rsidP="004C7DA2">
            <w:pPr>
              <w:tabs>
                <w:tab w:val="left" w:pos="1440"/>
              </w:tabs>
              <w:spacing w:before="0" w:after="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Qualitative assessment of global and segmental myocardial deformation by combining three longitudinal views, providing a comprehensive evaluation displayed as a bull’s-eye diagram.</w:t>
            </w:r>
          </w:p>
        </w:tc>
      </w:tr>
      <w:tr w:rsidR="004C7DA2" w:rsidRPr="00C3418B" w14:paraId="3F7BB36D" w14:textId="77777777" w:rsidTr="004C7DA2">
        <w:tc>
          <w:tcPr>
            <w:tcW w:w="1163" w:type="dxa"/>
            <w:tcBorders>
              <w:top w:val="single" w:sz="4" w:space="0" w:color="auto"/>
              <w:left w:val="single" w:sz="4" w:space="0" w:color="auto"/>
              <w:bottom w:val="single" w:sz="4" w:space="0" w:color="auto"/>
              <w:right w:val="single" w:sz="4" w:space="0" w:color="auto"/>
            </w:tcBorders>
          </w:tcPr>
          <w:p w14:paraId="1065CE30"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22</w:t>
            </w:r>
          </w:p>
        </w:tc>
        <w:tc>
          <w:tcPr>
            <w:tcW w:w="8221" w:type="dxa"/>
            <w:gridSpan w:val="2"/>
            <w:tcBorders>
              <w:top w:val="single" w:sz="4" w:space="0" w:color="auto"/>
              <w:left w:val="single" w:sz="4" w:space="0" w:color="auto"/>
              <w:bottom w:val="single" w:sz="4" w:space="0" w:color="auto"/>
              <w:right w:val="single" w:sz="4" w:space="0" w:color="auto"/>
            </w:tcBorders>
          </w:tcPr>
          <w:p w14:paraId="2CA3D464" w14:textId="77777777" w:rsidR="004C7DA2" w:rsidRPr="00C3418B" w:rsidRDefault="004C7DA2" w:rsidP="004C7DA2">
            <w:pPr>
              <w:tabs>
                <w:tab w:val="left" w:pos="1440"/>
              </w:tabs>
              <w:spacing w:before="0" w:after="0"/>
              <w:jc w:val="both"/>
              <w:rPr>
                <w:rFonts w:ascii="Times New Roman" w:hAnsi="Times New Roman"/>
                <w:color w:val="000000"/>
                <w:sz w:val="18"/>
                <w:szCs w:val="18"/>
                <w:lang w:val="sr-Latn-RS" w:eastAsia="ar-SA"/>
              </w:rPr>
            </w:pPr>
            <w:r w:rsidRPr="00C3418B">
              <w:rPr>
                <w:rFonts w:ascii="Times New Roman" w:hAnsi="Times New Roman"/>
                <w:color w:val="000000"/>
                <w:sz w:val="18"/>
                <w:szCs w:val="18"/>
                <w:lang w:val="en-US" w:eastAsia="ar-SA"/>
              </w:rPr>
              <w:t>Automated one-click myocardial deformation analysis. An artificial intelligence (AI)-based algorithm for automatic region of interest (ROI) generation enables complete analysis workflow, from tool initiation to validation of the obtained results, without requiring any user interaction.</w:t>
            </w:r>
          </w:p>
        </w:tc>
      </w:tr>
      <w:tr w:rsidR="004C7DA2" w:rsidRPr="00C3418B" w14:paraId="1ACF9D9E" w14:textId="77777777" w:rsidTr="004C7DA2">
        <w:trPr>
          <w:trHeight w:val="245"/>
        </w:trPr>
        <w:tc>
          <w:tcPr>
            <w:tcW w:w="1163" w:type="dxa"/>
            <w:tcBorders>
              <w:top w:val="single" w:sz="4" w:space="0" w:color="auto"/>
              <w:left w:val="single" w:sz="4" w:space="0" w:color="auto"/>
              <w:bottom w:val="single" w:sz="4" w:space="0" w:color="auto"/>
              <w:right w:val="single" w:sz="4" w:space="0" w:color="auto"/>
            </w:tcBorders>
          </w:tcPr>
          <w:p w14:paraId="079F371D"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23</w:t>
            </w:r>
          </w:p>
        </w:tc>
        <w:tc>
          <w:tcPr>
            <w:tcW w:w="8221" w:type="dxa"/>
            <w:gridSpan w:val="2"/>
            <w:tcBorders>
              <w:top w:val="single" w:sz="4" w:space="0" w:color="auto"/>
              <w:left w:val="single" w:sz="4" w:space="0" w:color="auto"/>
              <w:bottom w:val="single" w:sz="4" w:space="0" w:color="auto"/>
              <w:right w:val="single" w:sz="4" w:space="0" w:color="auto"/>
            </w:tcBorders>
          </w:tcPr>
          <w:p w14:paraId="02121733"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v-FI"/>
              </w:rPr>
            </w:pPr>
            <w:r w:rsidRPr="00C3418B">
              <w:rPr>
                <w:rFonts w:ascii="Times New Roman" w:eastAsia="Arial" w:hAnsi="Times New Roman"/>
                <w:sz w:val="18"/>
                <w:szCs w:val="18"/>
                <w:lang w:val="en-US"/>
              </w:rPr>
              <w:t>Automatic ejection fraction measurement based on speckle tracking algorithm.</w:t>
            </w:r>
          </w:p>
        </w:tc>
      </w:tr>
      <w:tr w:rsidR="004C7DA2" w:rsidRPr="00C3418B" w14:paraId="193CBA54" w14:textId="77777777" w:rsidTr="004C7DA2">
        <w:tc>
          <w:tcPr>
            <w:tcW w:w="1163" w:type="dxa"/>
            <w:tcBorders>
              <w:top w:val="single" w:sz="4" w:space="0" w:color="auto"/>
              <w:left w:val="single" w:sz="4" w:space="0" w:color="auto"/>
              <w:bottom w:val="single" w:sz="4" w:space="0" w:color="auto"/>
              <w:right w:val="single" w:sz="4" w:space="0" w:color="auto"/>
            </w:tcBorders>
          </w:tcPr>
          <w:p w14:paraId="29DE797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24</w:t>
            </w:r>
          </w:p>
        </w:tc>
        <w:tc>
          <w:tcPr>
            <w:tcW w:w="8221" w:type="dxa"/>
            <w:gridSpan w:val="2"/>
            <w:tcBorders>
              <w:top w:val="single" w:sz="4" w:space="0" w:color="auto"/>
              <w:left w:val="single" w:sz="4" w:space="0" w:color="auto"/>
              <w:bottom w:val="single" w:sz="4" w:space="0" w:color="auto"/>
              <w:right w:val="single" w:sz="4" w:space="0" w:color="auto"/>
            </w:tcBorders>
          </w:tcPr>
          <w:p w14:paraId="56E6112C"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hAnsi="Times New Roman"/>
                <w:color w:val="000000"/>
                <w:sz w:val="18"/>
                <w:szCs w:val="18"/>
                <w:lang w:val="en-US" w:eastAsia="ar-SA"/>
              </w:rPr>
              <w:t>Automated one-click ejection fraction measurement. An artificial intelligence (AI)-based algorithm for automatic region of interest (ROI) generation enables ejection fraction measurement on recordings acquired with or without ECG, without requiring any user interaction from tool activation to validation of the obtained results.</w:t>
            </w:r>
          </w:p>
        </w:tc>
      </w:tr>
      <w:tr w:rsidR="004C7DA2" w:rsidRPr="00C3418B" w14:paraId="0B47B382" w14:textId="77777777" w:rsidTr="004C7DA2">
        <w:tc>
          <w:tcPr>
            <w:tcW w:w="1163" w:type="dxa"/>
            <w:tcBorders>
              <w:top w:val="single" w:sz="4" w:space="0" w:color="auto"/>
              <w:left w:val="single" w:sz="4" w:space="0" w:color="auto"/>
              <w:bottom w:val="single" w:sz="4" w:space="0" w:color="auto"/>
              <w:right w:val="single" w:sz="4" w:space="0" w:color="auto"/>
            </w:tcBorders>
          </w:tcPr>
          <w:p w14:paraId="49C4DA7E"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25</w:t>
            </w:r>
          </w:p>
        </w:tc>
        <w:tc>
          <w:tcPr>
            <w:tcW w:w="8221" w:type="dxa"/>
            <w:gridSpan w:val="2"/>
            <w:tcBorders>
              <w:top w:val="single" w:sz="4" w:space="0" w:color="auto"/>
              <w:left w:val="single" w:sz="4" w:space="0" w:color="auto"/>
              <w:bottom w:val="single" w:sz="4" w:space="0" w:color="auto"/>
              <w:right w:val="single" w:sz="4" w:space="0" w:color="auto"/>
            </w:tcBorders>
          </w:tcPr>
          <w:p w14:paraId="1FFEF389"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Tool for quantitative assessment of right ventricular global longitudinal strain (RV GLS), right ventricular free wall strain, and segmental strain based on the apical four-chamber (A4C) view, with automatic measurement of TAPSE.</w:t>
            </w:r>
          </w:p>
        </w:tc>
      </w:tr>
      <w:tr w:rsidR="004C7DA2" w:rsidRPr="00C3418B" w14:paraId="76C018C7" w14:textId="77777777" w:rsidTr="004C7DA2">
        <w:tc>
          <w:tcPr>
            <w:tcW w:w="1163" w:type="dxa"/>
            <w:tcBorders>
              <w:top w:val="single" w:sz="4" w:space="0" w:color="auto"/>
              <w:left w:val="single" w:sz="4" w:space="0" w:color="auto"/>
              <w:bottom w:val="single" w:sz="4" w:space="0" w:color="auto"/>
              <w:right w:val="single" w:sz="4" w:space="0" w:color="auto"/>
            </w:tcBorders>
          </w:tcPr>
          <w:p w14:paraId="58BE47AF"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26</w:t>
            </w:r>
          </w:p>
        </w:tc>
        <w:tc>
          <w:tcPr>
            <w:tcW w:w="8221" w:type="dxa"/>
            <w:gridSpan w:val="2"/>
            <w:tcBorders>
              <w:top w:val="single" w:sz="4" w:space="0" w:color="auto"/>
              <w:left w:val="single" w:sz="4" w:space="0" w:color="auto"/>
              <w:bottom w:val="single" w:sz="4" w:space="0" w:color="auto"/>
              <w:right w:val="single" w:sz="4" w:space="0" w:color="auto"/>
            </w:tcBorders>
          </w:tcPr>
          <w:p w14:paraId="16D0ED07"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Tool for quantitative assessment of left atrial global longitudinal strain (LA GLS), left atrial volume, and left atrial emptying fraction (LAEF).</w:t>
            </w:r>
          </w:p>
        </w:tc>
      </w:tr>
      <w:tr w:rsidR="004C7DA2" w:rsidRPr="00C3418B" w14:paraId="4F15A89B" w14:textId="77777777" w:rsidTr="004C7DA2">
        <w:tc>
          <w:tcPr>
            <w:tcW w:w="1163" w:type="dxa"/>
            <w:tcBorders>
              <w:top w:val="single" w:sz="4" w:space="0" w:color="auto"/>
              <w:left w:val="single" w:sz="4" w:space="0" w:color="auto"/>
              <w:bottom w:val="single" w:sz="4" w:space="0" w:color="auto"/>
              <w:right w:val="single" w:sz="4" w:space="0" w:color="auto"/>
            </w:tcBorders>
          </w:tcPr>
          <w:p w14:paraId="42837B36"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27</w:t>
            </w:r>
          </w:p>
        </w:tc>
        <w:tc>
          <w:tcPr>
            <w:tcW w:w="8221" w:type="dxa"/>
            <w:gridSpan w:val="2"/>
            <w:tcBorders>
              <w:top w:val="single" w:sz="4" w:space="0" w:color="auto"/>
              <w:left w:val="single" w:sz="4" w:space="0" w:color="auto"/>
              <w:bottom w:val="single" w:sz="4" w:space="0" w:color="auto"/>
              <w:right w:val="single" w:sz="4" w:space="0" w:color="auto"/>
            </w:tcBorders>
            <w:hideMark/>
          </w:tcPr>
          <w:p w14:paraId="491A9644"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Stress echocardiography package supporting 2D pharmacological stress, 2D bicycle exercise, and 2D treadmill exercise protocols, including dedicated protocols for the assessment of global and segmental longitudinal myocardial strain at all stages of stress testing.</w:t>
            </w:r>
          </w:p>
        </w:tc>
      </w:tr>
      <w:tr w:rsidR="004C7DA2" w:rsidRPr="00C3418B" w14:paraId="278EAEAB" w14:textId="77777777" w:rsidTr="004C7DA2">
        <w:tc>
          <w:tcPr>
            <w:tcW w:w="1163" w:type="dxa"/>
            <w:tcBorders>
              <w:top w:val="single" w:sz="4" w:space="0" w:color="auto"/>
              <w:left w:val="single" w:sz="4" w:space="0" w:color="auto"/>
              <w:bottom w:val="single" w:sz="4" w:space="0" w:color="auto"/>
              <w:right w:val="single" w:sz="4" w:space="0" w:color="auto"/>
            </w:tcBorders>
          </w:tcPr>
          <w:p w14:paraId="0CF22A50"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28</w:t>
            </w:r>
          </w:p>
        </w:tc>
        <w:tc>
          <w:tcPr>
            <w:tcW w:w="8221" w:type="dxa"/>
            <w:gridSpan w:val="2"/>
            <w:tcBorders>
              <w:top w:val="single" w:sz="4" w:space="0" w:color="auto"/>
              <w:left w:val="single" w:sz="4" w:space="0" w:color="auto"/>
              <w:bottom w:val="single" w:sz="4" w:space="0" w:color="auto"/>
              <w:right w:val="single" w:sz="4" w:space="0" w:color="auto"/>
            </w:tcBorders>
          </w:tcPr>
          <w:p w14:paraId="414DF709"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Dedicated software for left ventricular quantification based on 4D echocardiographic acquisition.</w:t>
            </w:r>
          </w:p>
        </w:tc>
      </w:tr>
      <w:tr w:rsidR="004C7DA2" w:rsidRPr="00C3418B" w14:paraId="340EE0FE" w14:textId="77777777" w:rsidTr="004C7DA2">
        <w:trPr>
          <w:trHeight w:val="362"/>
        </w:trPr>
        <w:tc>
          <w:tcPr>
            <w:tcW w:w="1163" w:type="dxa"/>
            <w:tcBorders>
              <w:top w:val="single" w:sz="4" w:space="0" w:color="auto"/>
              <w:left w:val="single" w:sz="4" w:space="0" w:color="auto"/>
              <w:bottom w:val="single" w:sz="4" w:space="0" w:color="auto"/>
              <w:right w:val="single" w:sz="4" w:space="0" w:color="auto"/>
            </w:tcBorders>
          </w:tcPr>
          <w:p w14:paraId="27CF9477"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29</w:t>
            </w:r>
          </w:p>
        </w:tc>
        <w:tc>
          <w:tcPr>
            <w:tcW w:w="8221" w:type="dxa"/>
            <w:gridSpan w:val="2"/>
            <w:tcBorders>
              <w:top w:val="single" w:sz="4" w:space="0" w:color="auto"/>
              <w:left w:val="single" w:sz="4" w:space="0" w:color="auto"/>
              <w:bottom w:val="single" w:sz="4" w:space="0" w:color="auto"/>
              <w:right w:val="single" w:sz="4" w:space="0" w:color="auto"/>
            </w:tcBorders>
          </w:tcPr>
          <w:p w14:paraId="617F5180"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Simultaneous visualization in dual- and tri-plane B-mode imaging, with or without Color Flow Mapping (CFM) or Tissue Velocity Imaging (TVI).</w:t>
            </w:r>
          </w:p>
        </w:tc>
      </w:tr>
      <w:tr w:rsidR="004C7DA2" w:rsidRPr="00C3418B" w14:paraId="7E19F002" w14:textId="77777777" w:rsidTr="004C7DA2">
        <w:tc>
          <w:tcPr>
            <w:tcW w:w="1163" w:type="dxa"/>
            <w:tcBorders>
              <w:top w:val="single" w:sz="4" w:space="0" w:color="auto"/>
              <w:left w:val="single" w:sz="4" w:space="0" w:color="auto"/>
              <w:bottom w:val="single" w:sz="4" w:space="0" w:color="auto"/>
              <w:right w:val="single" w:sz="4" w:space="0" w:color="auto"/>
            </w:tcBorders>
          </w:tcPr>
          <w:p w14:paraId="39DA3030"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lastRenderedPageBreak/>
              <w:t>30</w:t>
            </w:r>
          </w:p>
        </w:tc>
        <w:tc>
          <w:tcPr>
            <w:tcW w:w="8221" w:type="dxa"/>
            <w:gridSpan w:val="2"/>
            <w:tcBorders>
              <w:top w:val="single" w:sz="4" w:space="0" w:color="auto"/>
              <w:left w:val="single" w:sz="4" w:space="0" w:color="auto"/>
              <w:bottom w:val="single" w:sz="4" w:space="0" w:color="auto"/>
              <w:right w:val="single" w:sz="4" w:space="0" w:color="auto"/>
            </w:tcBorders>
          </w:tcPr>
          <w:p w14:paraId="027778F5"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Simultaneous visualization of at least 12 combined standard planes/views extracted from 4D echocardiographic acquisition, available in real-time (live) mode or during post-processing.</w:t>
            </w:r>
          </w:p>
        </w:tc>
      </w:tr>
      <w:tr w:rsidR="004C7DA2" w:rsidRPr="00C3418B" w14:paraId="2A8BABA4" w14:textId="77777777" w:rsidTr="004C7DA2">
        <w:tc>
          <w:tcPr>
            <w:tcW w:w="1163" w:type="dxa"/>
            <w:tcBorders>
              <w:top w:val="single" w:sz="4" w:space="0" w:color="auto"/>
              <w:left w:val="single" w:sz="4" w:space="0" w:color="auto"/>
              <w:bottom w:val="single" w:sz="4" w:space="0" w:color="auto"/>
              <w:right w:val="single" w:sz="4" w:space="0" w:color="auto"/>
            </w:tcBorders>
          </w:tcPr>
          <w:p w14:paraId="44197CB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31</w:t>
            </w:r>
          </w:p>
        </w:tc>
        <w:tc>
          <w:tcPr>
            <w:tcW w:w="8221" w:type="dxa"/>
            <w:gridSpan w:val="2"/>
            <w:tcBorders>
              <w:top w:val="single" w:sz="4" w:space="0" w:color="auto"/>
              <w:left w:val="single" w:sz="4" w:space="0" w:color="auto"/>
              <w:bottom w:val="single" w:sz="4" w:space="0" w:color="auto"/>
              <w:right w:val="single" w:sz="4" w:space="0" w:color="auto"/>
            </w:tcBorders>
          </w:tcPr>
          <w:p w14:paraId="20D1E886"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Advanced 3D visualization technique for enhanced depth perception of volumetric objects, utilizing sophisticated shading and reflection algorithms combined with depth rendering technologies, allowing placement of the light source behind the rendered tissue to create a backlighting effect. The functionality shall be available for both live imaging and stored/reviewed images.</w:t>
            </w:r>
          </w:p>
        </w:tc>
      </w:tr>
      <w:tr w:rsidR="004C7DA2" w:rsidRPr="00C3418B" w14:paraId="0165D82A" w14:textId="77777777" w:rsidTr="004C7DA2">
        <w:trPr>
          <w:trHeight w:val="213"/>
        </w:trPr>
        <w:tc>
          <w:tcPr>
            <w:tcW w:w="1163" w:type="dxa"/>
            <w:tcBorders>
              <w:top w:val="single" w:sz="4" w:space="0" w:color="auto"/>
              <w:left w:val="single" w:sz="4" w:space="0" w:color="auto"/>
              <w:bottom w:val="single" w:sz="4" w:space="0" w:color="auto"/>
              <w:right w:val="single" w:sz="4" w:space="0" w:color="auto"/>
            </w:tcBorders>
          </w:tcPr>
          <w:p w14:paraId="4B4488E5"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32</w:t>
            </w:r>
          </w:p>
        </w:tc>
        <w:tc>
          <w:tcPr>
            <w:tcW w:w="8221" w:type="dxa"/>
            <w:gridSpan w:val="2"/>
            <w:tcBorders>
              <w:top w:val="single" w:sz="4" w:space="0" w:color="auto"/>
              <w:left w:val="single" w:sz="4" w:space="0" w:color="auto"/>
              <w:bottom w:val="single" w:sz="4" w:space="0" w:color="auto"/>
              <w:right w:val="single" w:sz="4" w:space="0" w:color="auto"/>
            </w:tcBorders>
          </w:tcPr>
          <w:p w14:paraId="1F449CA0"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Dedicated tool allowing placement of markers and annotations within 4D echocardiographic acquisitions.</w:t>
            </w:r>
          </w:p>
        </w:tc>
      </w:tr>
      <w:tr w:rsidR="004C7DA2" w:rsidRPr="00C3418B" w14:paraId="403BC403" w14:textId="77777777" w:rsidTr="004C7DA2">
        <w:tc>
          <w:tcPr>
            <w:tcW w:w="1163" w:type="dxa"/>
            <w:tcBorders>
              <w:top w:val="single" w:sz="4" w:space="0" w:color="auto"/>
              <w:left w:val="single" w:sz="4" w:space="0" w:color="auto"/>
              <w:bottom w:val="single" w:sz="4" w:space="0" w:color="auto"/>
              <w:right w:val="single" w:sz="4" w:space="0" w:color="auto"/>
            </w:tcBorders>
          </w:tcPr>
          <w:p w14:paraId="3B2274B6"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33</w:t>
            </w:r>
          </w:p>
        </w:tc>
        <w:tc>
          <w:tcPr>
            <w:tcW w:w="8221" w:type="dxa"/>
            <w:gridSpan w:val="2"/>
            <w:tcBorders>
              <w:top w:val="single" w:sz="4" w:space="0" w:color="auto"/>
              <w:left w:val="single" w:sz="4" w:space="0" w:color="auto"/>
              <w:bottom w:val="single" w:sz="4" w:space="0" w:color="auto"/>
              <w:right w:val="single" w:sz="4" w:space="0" w:color="auto"/>
            </w:tcBorders>
          </w:tcPr>
          <w:p w14:paraId="33E43F76"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Digital imaging technique enabling real-time visualization of vascular hemodynamics by direct visualization of blood reflectors and grayscale representation of hemodynamic information.</w:t>
            </w:r>
          </w:p>
        </w:tc>
      </w:tr>
      <w:tr w:rsidR="004C7DA2" w:rsidRPr="00C3418B" w14:paraId="2ADEAE97" w14:textId="77777777" w:rsidTr="004C7DA2">
        <w:tc>
          <w:tcPr>
            <w:tcW w:w="1163" w:type="dxa"/>
            <w:tcBorders>
              <w:top w:val="single" w:sz="4" w:space="0" w:color="auto"/>
              <w:left w:val="single" w:sz="4" w:space="0" w:color="auto"/>
              <w:bottom w:val="single" w:sz="4" w:space="0" w:color="auto"/>
              <w:right w:val="single" w:sz="4" w:space="0" w:color="auto"/>
            </w:tcBorders>
          </w:tcPr>
          <w:p w14:paraId="4FDB747D"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34</w:t>
            </w:r>
          </w:p>
        </w:tc>
        <w:tc>
          <w:tcPr>
            <w:tcW w:w="8221" w:type="dxa"/>
            <w:gridSpan w:val="2"/>
            <w:tcBorders>
              <w:top w:val="single" w:sz="4" w:space="0" w:color="auto"/>
              <w:left w:val="single" w:sz="4" w:space="0" w:color="auto"/>
              <w:bottom w:val="single" w:sz="4" w:space="0" w:color="auto"/>
              <w:right w:val="single" w:sz="4" w:space="0" w:color="auto"/>
            </w:tcBorders>
          </w:tcPr>
          <w:p w14:paraId="3110D19A"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Artificial intelligence (AI)-based automated cardiac 2D measurements on the parasternal long-axis (PLAX) view.</w:t>
            </w:r>
          </w:p>
        </w:tc>
      </w:tr>
      <w:tr w:rsidR="004C7DA2" w:rsidRPr="00C3418B" w14:paraId="1329B21A" w14:textId="77777777" w:rsidTr="004C7DA2">
        <w:tc>
          <w:tcPr>
            <w:tcW w:w="1163" w:type="dxa"/>
            <w:tcBorders>
              <w:top w:val="single" w:sz="4" w:space="0" w:color="auto"/>
              <w:left w:val="single" w:sz="4" w:space="0" w:color="auto"/>
              <w:bottom w:val="single" w:sz="4" w:space="0" w:color="auto"/>
              <w:right w:val="single" w:sz="4" w:space="0" w:color="auto"/>
            </w:tcBorders>
          </w:tcPr>
          <w:p w14:paraId="3BDCABE6"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35</w:t>
            </w:r>
          </w:p>
        </w:tc>
        <w:tc>
          <w:tcPr>
            <w:tcW w:w="8221" w:type="dxa"/>
            <w:gridSpan w:val="2"/>
            <w:tcBorders>
              <w:top w:val="single" w:sz="4" w:space="0" w:color="auto"/>
              <w:left w:val="single" w:sz="4" w:space="0" w:color="auto"/>
              <w:bottom w:val="single" w:sz="4" w:space="0" w:color="auto"/>
              <w:right w:val="single" w:sz="4" w:space="0" w:color="auto"/>
            </w:tcBorders>
          </w:tcPr>
          <w:p w14:paraId="1BBB769E"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r-Latn-RS"/>
              </w:rPr>
            </w:pPr>
            <w:r w:rsidRPr="00C3418B">
              <w:rPr>
                <w:rFonts w:ascii="Times New Roman" w:eastAsia="Arial" w:hAnsi="Times New Roman"/>
                <w:sz w:val="18"/>
                <w:szCs w:val="18"/>
                <w:lang w:val="en-US"/>
              </w:rPr>
              <w:t>Artificial intelligence (AI)-based function that automatically recognizes the type of spectral Doppler trace and automatically initiates the corresponding Doppler measurements.</w:t>
            </w:r>
          </w:p>
        </w:tc>
      </w:tr>
      <w:tr w:rsidR="004C7DA2" w:rsidRPr="00C3418B" w14:paraId="33175B5D" w14:textId="77777777" w:rsidTr="004C7DA2">
        <w:tc>
          <w:tcPr>
            <w:tcW w:w="1163" w:type="dxa"/>
            <w:tcBorders>
              <w:top w:val="single" w:sz="4" w:space="0" w:color="auto"/>
              <w:left w:val="single" w:sz="4" w:space="0" w:color="auto"/>
              <w:bottom w:val="single" w:sz="4" w:space="0" w:color="auto"/>
              <w:right w:val="single" w:sz="4" w:space="0" w:color="auto"/>
            </w:tcBorders>
          </w:tcPr>
          <w:p w14:paraId="41A25668"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36</w:t>
            </w:r>
          </w:p>
        </w:tc>
        <w:tc>
          <w:tcPr>
            <w:tcW w:w="8221" w:type="dxa"/>
            <w:gridSpan w:val="2"/>
            <w:tcBorders>
              <w:top w:val="single" w:sz="4" w:space="0" w:color="auto"/>
              <w:left w:val="single" w:sz="4" w:space="0" w:color="auto"/>
              <w:bottom w:val="single" w:sz="4" w:space="0" w:color="auto"/>
              <w:right w:val="single" w:sz="4" w:space="0" w:color="auto"/>
            </w:tcBorders>
          </w:tcPr>
          <w:p w14:paraId="0BD99ECA"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DICOM 3.0</w:t>
            </w:r>
          </w:p>
        </w:tc>
      </w:tr>
      <w:tr w:rsidR="004C7DA2" w:rsidRPr="00C3418B" w14:paraId="66B48E30" w14:textId="77777777" w:rsidTr="004C7DA2">
        <w:tc>
          <w:tcPr>
            <w:tcW w:w="1163" w:type="dxa"/>
            <w:tcBorders>
              <w:top w:val="single" w:sz="4" w:space="0" w:color="auto"/>
              <w:left w:val="single" w:sz="4" w:space="0" w:color="auto"/>
              <w:bottom w:val="single" w:sz="4" w:space="0" w:color="auto"/>
              <w:right w:val="single" w:sz="4" w:space="0" w:color="auto"/>
            </w:tcBorders>
          </w:tcPr>
          <w:p w14:paraId="2218CF8F"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37</w:t>
            </w:r>
          </w:p>
        </w:tc>
        <w:tc>
          <w:tcPr>
            <w:tcW w:w="8221" w:type="dxa"/>
            <w:gridSpan w:val="2"/>
            <w:tcBorders>
              <w:top w:val="single" w:sz="4" w:space="0" w:color="auto"/>
              <w:left w:val="single" w:sz="4" w:space="0" w:color="auto"/>
              <w:bottom w:val="single" w:sz="4" w:space="0" w:color="auto"/>
              <w:right w:val="single" w:sz="4" w:space="0" w:color="auto"/>
            </w:tcBorders>
          </w:tcPr>
          <w:p w14:paraId="2CDF7372"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Min. 2 USB 3.0 porta</w:t>
            </w:r>
          </w:p>
        </w:tc>
      </w:tr>
      <w:tr w:rsidR="004C7DA2" w:rsidRPr="00C3418B" w14:paraId="466A96D6" w14:textId="77777777" w:rsidTr="004C7DA2">
        <w:tc>
          <w:tcPr>
            <w:tcW w:w="1163" w:type="dxa"/>
            <w:tcBorders>
              <w:top w:val="single" w:sz="4" w:space="0" w:color="auto"/>
              <w:left w:val="single" w:sz="4" w:space="0" w:color="auto"/>
              <w:bottom w:val="single" w:sz="4" w:space="0" w:color="auto"/>
              <w:right w:val="single" w:sz="4" w:space="0" w:color="auto"/>
            </w:tcBorders>
          </w:tcPr>
          <w:p w14:paraId="37BFBDAD"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38</w:t>
            </w:r>
          </w:p>
        </w:tc>
        <w:tc>
          <w:tcPr>
            <w:tcW w:w="8221" w:type="dxa"/>
            <w:gridSpan w:val="2"/>
            <w:tcBorders>
              <w:top w:val="single" w:sz="4" w:space="0" w:color="auto"/>
              <w:left w:val="single" w:sz="4" w:space="0" w:color="auto"/>
              <w:bottom w:val="single" w:sz="4" w:space="0" w:color="auto"/>
              <w:right w:val="single" w:sz="4" w:space="0" w:color="auto"/>
            </w:tcBorders>
          </w:tcPr>
          <w:p w14:paraId="51DC6173"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DVI-D and DisplayPort video outputs.</w:t>
            </w:r>
          </w:p>
        </w:tc>
      </w:tr>
      <w:tr w:rsidR="004C7DA2" w:rsidRPr="00C3418B" w14:paraId="32226A15" w14:textId="77777777" w:rsidTr="004C7DA2">
        <w:tc>
          <w:tcPr>
            <w:tcW w:w="1163" w:type="dxa"/>
            <w:tcBorders>
              <w:top w:val="single" w:sz="4" w:space="0" w:color="auto"/>
              <w:left w:val="single" w:sz="4" w:space="0" w:color="auto"/>
              <w:bottom w:val="single" w:sz="4" w:space="0" w:color="auto"/>
              <w:right w:val="single" w:sz="4" w:space="0" w:color="auto"/>
            </w:tcBorders>
          </w:tcPr>
          <w:p w14:paraId="0229638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39</w:t>
            </w:r>
          </w:p>
        </w:tc>
        <w:tc>
          <w:tcPr>
            <w:tcW w:w="8221" w:type="dxa"/>
            <w:gridSpan w:val="2"/>
            <w:tcBorders>
              <w:top w:val="single" w:sz="4" w:space="0" w:color="auto"/>
              <w:left w:val="single" w:sz="4" w:space="0" w:color="auto"/>
              <w:bottom w:val="single" w:sz="4" w:space="0" w:color="auto"/>
              <w:right w:val="single" w:sz="4" w:space="0" w:color="auto"/>
            </w:tcBorders>
          </w:tcPr>
          <w:p w14:paraId="08DB7548"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en-US"/>
              </w:rPr>
            </w:pPr>
            <w:r w:rsidRPr="00C3418B">
              <w:rPr>
                <w:rFonts w:ascii="Times New Roman" w:eastAsia="Arial" w:hAnsi="Times New Roman"/>
                <w:sz w:val="18"/>
                <w:szCs w:val="18"/>
                <w:lang w:val="en-US"/>
              </w:rPr>
              <w:t>Ethernet</w:t>
            </w:r>
          </w:p>
        </w:tc>
      </w:tr>
      <w:tr w:rsidR="004C7DA2" w:rsidRPr="00C3418B" w14:paraId="5746A824" w14:textId="77777777" w:rsidTr="004C7DA2">
        <w:tc>
          <w:tcPr>
            <w:tcW w:w="1163" w:type="dxa"/>
            <w:tcBorders>
              <w:top w:val="single" w:sz="4" w:space="0" w:color="auto"/>
              <w:left w:val="single" w:sz="4" w:space="0" w:color="auto"/>
              <w:bottom w:val="single" w:sz="4" w:space="0" w:color="auto"/>
              <w:right w:val="single" w:sz="4" w:space="0" w:color="auto"/>
            </w:tcBorders>
          </w:tcPr>
          <w:p w14:paraId="6D4C6BBC"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40</w:t>
            </w:r>
          </w:p>
        </w:tc>
        <w:tc>
          <w:tcPr>
            <w:tcW w:w="8221" w:type="dxa"/>
            <w:gridSpan w:val="2"/>
            <w:tcBorders>
              <w:top w:val="single" w:sz="4" w:space="0" w:color="auto"/>
              <w:left w:val="single" w:sz="4" w:space="0" w:color="auto"/>
              <w:bottom w:val="single" w:sz="4" w:space="0" w:color="auto"/>
              <w:right w:val="single" w:sz="4" w:space="0" w:color="auto"/>
            </w:tcBorders>
          </w:tcPr>
          <w:p w14:paraId="27CE0FC6" w14:textId="77777777" w:rsidR="004C7DA2" w:rsidRPr="00C3418B" w:rsidRDefault="004C7DA2" w:rsidP="004C7DA2">
            <w:pPr>
              <w:widowControl w:val="0"/>
              <w:suppressAutoHyphens w:val="0"/>
              <w:spacing w:before="0" w:after="0"/>
              <w:ind w:right="563"/>
              <w:rPr>
                <w:rFonts w:ascii="Times New Roman" w:eastAsia="Arial" w:hAnsi="Times New Roman"/>
                <w:sz w:val="18"/>
                <w:szCs w:val="18"/>
                <w:lang w:val="sv-FI"/>
              </w:rPr>
            </w:pPr>
            <w:r w:rsidRPr="00C3418B">
              <w:rPr>
                <w:rFonts w:ascii="Times New Roman" w:eastAsia="Arial" w:hAnsi="Times New Roman"/>
                <w:sz w:val="18"/>
                <w:szCs w:val="18"/>
                <w:lang w:val="en-US"/>
              </w:rPr>
              <w:t>Integrated 3-lead ECG module.</w:t>
            </w:r>
          </w:p>
        </w:tc>
      </w:tr>
      <w:tr w:rsidR="004C7DA2" w:rsidRPr="00C3418B" w14:paraId="5968F08C" w14:textId="77777777" w:rsidTr="004C7DA2">
        <w:tc>
          <w:tcPr>
            <w:tcW w:w="1163" w:type="dxa"/>
            <w:tcBorders>
              <w:top w:val="single" w:sz="4" w:space="0" w:color="auto"/>
              <w:left w:val="single" w:sz="4" w:space="0" w:color="auto"/>
              <w:bottom w:val="single" w:sz="4" w:space="0" w:color="auto"/>
              <w:right w:val="single" w:sz="4" w:space="0" w:color="auto"/>
            </w:tcBorders>
          </w:tcPr>
          <w:p w14:paraId="4CAD50A8"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41</w:t>
            </w:r>
          </w:p>
        </w:tc>
        <w:tc>
          <w:tcPr>
            <w:tcW w:w="8221" w:type="dxa"/>
            <w:gridSpan w:val="2"/>
            <w:tcBorders>
              <w:top w:val="single" w:sz="4" w:space="0" w:color="auto"/>
              <w:left w:val="single" w:sz="4" w:space="0" w:color="auto"/>
              <w:bottom w:val="single" w:sz="4" w:space="0" w:color="auto"/>
              <w:right w:val="single" w:sz="4" w:space="0" w:color="auto"/>
            </w:tcBorders>
          </w:tcPr>
          <w:p w14:paraId="2FFC263B" w14:textId="77777777" w:rsidR="004C7DA2" w:rsidRPr="00C3418B" w:rsidRDefault="004C7DA2" w:rsidP="004C7DA2">
            <w:pPr>
              <w:tabs>
                <w:tab w:val="left" w:pos="1440"/>
              </w:tabs>
              <w:autoSpaceDE w:val="0"/>
              <w:autoSpaceDN w:val="0"/>
              <w:adjustRightInd w:val="0"/>
              <w:spacing w:before="0" w:after="0"/>
              <w:jc w:val="both"/>
              <w:rPr>
                <w:rFonts w:ascii="Times New Roman" w:eastAsia="Arial" w:hAnsi="Times New Roman"/>
                <w:b/>
                <w:sz w:val="18"/>
                <w:szCs w:val="18"/>
                <w:lang w:val="sr-Cyrl-RS" w:eastAsia="ar-SA"/>
              </w:rPr>
            </w:pPr>
            <w:r w:rsidRPr="00C3418B">
              <w:rPr>
                <w:rFonts w:ascii="Times New Roman" w:hAnsi="Times New Roman"/>
                <w:b/>
                <w:sz w:val="18"/>
                <w:szCs w:val="18"/>
                <w:lang w:val="en-US" w:eastAsia="ar-SA"/>
              </w:rPr>
              <w:t>Sonde:</w:t>
            </w:r>
          </w:p>
        </w:tc>
      </w:tr>
      <w:tr w:rsidR="004C7DA2" w:rsidRPr="00C3418B" w14:paraId="63FC06AC" w14:textId="77777777" w:rsidTr="004C7DA2">
        <w:trPr>
          <w:trHeight w:val="627"/>
        </w:trPr>
        <w:tc>
          <w:tcPr>
            <w:tcW w:w="1163" w:type="dxa"/>
            <w:tcBorders>
              <w:top w:val="single" w:sz="4" w:space="0" w:color="auto"/>
              <w:left w:val="single" w:sz="4" w:space="0" w:color="auto"/>
              <w:bottom w:val="single" w:sz="4" w:space="0" w:color="auto"/>
              <w:right w:val="single" w:sz="4" w:space="0" w:color="auto"/>
            </w:tcBorders>
          </w:tcPr>
          <w:p w14:paraId="29E11FAD"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C88EA24" w14:textId="77777777" w:rsidR="004C7DA2" w:rsidRPr="00C3418B" w:rsidRDefault="004C7DA2" w:rsidP="004C7DA2">
            <w:pPr>
              <w:tabs>
                <w:tab w:val="left" w:pos="1440"/>
              </w:tabs>
              <w:spacing w:before="0"/>
              <w:jc w:val="center"/>
              <w:rPr>
                <w:rFonts w:ascii="Times New Roman" w:hAnsi="Times New Roman"/>
                <w:sz w:val="18"/>
                <w:szCs w:val="18"/>
                <w:lang w:val="sr-Latn-RS" w:eastAsia="ar-SA"/>
              </w:rPr>
            </w:pPr>
            <w:r w:rsidRPr="00C3418B">
              <w:rPr>
                <w:rFonts w:ascii="Times New Roman" w:hAnsi="Times New Roman"/>
                <w:sz w:val="18"/>
                <w:szCs w:val="18"/>
                <w:lang w:val="sr-Latn-RS" w:eastAsia="ar-SA"/>
              </w:rPr>
              <w:t>39.1</w:t>
            </w:r>
          </w:p>
        </w:tc>
        <w:tc>
          <w:tcPr>
            <w:tcW w:w="7512" w:type="dxa"/>
            <w:tcBorders>
              <w:top w:val="single" w:sz="4" w:space="0" w:color="auto"/>
              <w:left w:val="single" w:sz="4" w:space="0" w:color="auto"/>
              <w:bottom w:val="single" w:sz="4" w:space="0" w:color="auto"/>
              <w:right w:val="single" w:sz="4" w:space="0" w:color="auto"/>
            </w:tcBorders>
          </w:tcPr>
          <w:p w14:paraId="6B8B4D0E" w14:textId="77777777" w:rsidR="004C7DA2" w:rsidRPr="00C3418B" w:rsidRDefault="004C7DA2" w:rsidP="004C7DA2">
            <w:pPr>
              <w:widowControl w:val="0"/>
              <w:tabs>
                <w:tab w:val="left" w:pos="1440"/>
              </w:tabs>
              <w:autoSpaceDE w:val="0"/>
              <w:autoSpaceDN w:val="0"/>
              <w:adjustRightInd w:val="0"/>
              <w:spacing w:before="0" w:after="0"/>
              <w:jc w:val="both"/>
              <w:rPr>
                <w:rFonts w:ascii="Times New Roman" w:hAnsi="Times New Roman"/>
                <w:sz w:val="18"/>
                <w:szCs w:val="18"/>
                <w:lang w:val="sr-Latn-RS" w:eastAsia="ar-SA"/>
              </w:rPr>
            </w:pPr>
            <w:r w:rsidRPr="00C3418B">
              <w:rPr>
                <w:rFonts w:ascii="Times New Roman" w:hAnsi="Times New Roman"/>
                <w:sz w:val="18"/>
                <w:szCs w:val="18"/>
                <w:lang w:val="en-US" w:eastAsia="ar-SA"/>
              </w:rPr>
              <w:t>Transthoracic 4D matrix array sector transducer, manufactured using single-crystal technology, with a frequency range of 1.5–3.8 MHz or wider, a minimum field of view (FOV) of 90°, and a minimum of 2,300 elements.</w:t>
            </w:r>
          </w:p>
        </w:tc>
      </w:tr>
      <w:tr w:rsidR="004C7DA2" w:rsidRPr="00C3418B" w14:paraId="3DD0733A" w14:textId="77777777" w:rsidTr="004C7DA2">
        <w:trPr>
          <w:trHeight w:val="627"/>
        </w:trPr>
        <w:tc>
          <w:tcPr>
            <w:tcW w:w="1163" w:type="dxa"/>
            <w:tcBorders>
              <w:top w:val="single" w:sz="4" w:space="0" w:color="auto"/>
              <w:left w:val="single" w:sz="4" w:space="0" w:color="auto"/>
              <w:bottom w:val="single" w:sz="4" w:space="0" w:color="auto"/>
              <w:right w:val="single" w:sz="4" w:space="0" w:color="auto"/>
            </w:tcBorders>
          </w:tcPr>
          <w:p w14:paraId="5698D909"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40CB2555"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39.2</w:t>
            </w:r>
          </w:p>
        </w:tc>
        <w:tc>
          <w:tcPr>
            <w:tcW w:w="7512" w:type="dxa"/>
            <w:tcBorders>
              <w:top w:val="single" w:sz="4" w:space="0" w:color="auto"/>
              <w:left w:val="single" w:sz="4" w:space="0" w:color="auto"/>
              <w:bottom w:val="single" w:sz="4" w:space="0" w:color="auto"/>
              <w:right w:val="single" w:sz="4" w:space="0" w:color="auto"/>
            </w:tcBorders>
            <w:hideMark/>
          </w:tcPr>
          <w:p w14:paraId="4C63F968" w14:textId="77777777" w:rsidR="004C7DA2" w:rsidRPr="00C3418B" w:rsidRDefault="004C7DA2" w:rsidP="004C7DA2">
            <w:pPr>
              <w:widowControl w:val="0"/>
              <w:tabs>
                <w:tab w:val="left" w:pos="1440"/>
              </w:tabs>
              <w:autoSpaceDE w:val="0"/>
              <w:autoSpaceDN w:val="0"/>
              <w:adjustRightInd w:val="0"/>
              <w:spacing w:before="0" w:after="0"/>
              <w:jc w:val="both"/>
              <w:rPr>
                <w:rFonts w:ascii="Times New Roman" w:eastAsia="Arial" w:hAnsi="Times New Roman"/>
                <w:sz w:val="18"/>
                <w:szCs w:val="18"/>
                <w:lang w:val="sr-Latn-RS" w:eastAsia="ar-SA"/>
              </w:rPr>
            </w:pPr>
            <w:r w:rsidRPr="00C3418B">
              <w:rPr>
                <w:rFonts w:ascii="Times New Roman" w:eastAsia="Arial" w:hAnsi="Times New Roman"/>
                <w:sz w:val="18"/>
                <w:szCs w:val="18"/>
                <w:lang w:val="en-US" w:eastAsia="ar-SA"/>
              </w:rPr>
              <w:t>2D linear transducer with a frequency range of 3–9 MHz or wider, a minimum field of view (FOV) of 38 mm, and a minimum of 190 elements.</w:t>
            </w:r>
          </w:p>
        </w:tc>
      </w:tr>
      <w:tr w:rsidR="004C7DA2" w:rsidRPr="00C3418B" w14:paraId="35F9F72E" w14:textId="77777777" w:rsidTr="004C7DA2">
        <w:tc>
          <w:tcPr>
            <w:tcW w:w="1163" w:type="dxa"/>
            <w:tcBorders>
              <w:top w:val="single" w:sz="4" w:space="0" w:color="auto"/>
              <w:left w:val="single" w:sz="4" w:space="0" w:color="auto"/>
              <w:bottom w:val="single" w:sz="4" w:space="0" w:color="auto"/>
              <w:right w:val="single" w:sz="4" w:space="0" w:color="auto"/>
            </w:tcBorders>
            <w:hideMark/>
          </w:tcPr>
          <w:p w14:paraId="00E14B78"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42</w:t>
            </w:r>
          </w:p>
        </w:tc>
        <w:tc>
          <w:tcPr>
            <w:tcW w:w="8221" w:type="dxa"/>
            <w:gridSpan w:val="2"/>
            <w:tcBorders>
              <w:top w:val="single" w:sz="4" w:space="0" w:color="auto"/>
              <w:left w:val="single" w:sz="4" w:space="0" w:color="auto"/>
              <w:bottom w:val="single" w:sz="4" w:space="0" w:color="auto"/>
              <w:right w:val="single" w:sz="4" w:space="0" w:color="auto"/>
            </w:tcBorders>
          </w:tcPr>
          <w:p w14:paraId="5E18F470" w14:textId="77777777" w:rsidR="004C7DA2" w:rsidRPr="00C3418B" w:rsidRDefault="004C7DA2" w:rsidP="004C7DA2">
            <w:pPr>
              <w:keepNext/>
              <w:tabs>
                <w:tab w:val="left" w:pos="1440"/>
              </w:tabs>
              <w:spacing w:before="0" w:after="60"/>
              <w:ind w:right="-108"/>
              <w:jc w:val="both"/>
              <w:outlineLvl w:val="2"/>
              <w:rPr>
                <w:rFonts w:ascii="Times New Roman" w:hAnsi="Times New Roman"/>
                <w:b/>
                <w:bCs/>
                <w:w w:val="105"/>
                <w:sz w:val="18"/>
                <w:szCs w:val="18"/>
                <w:lang w:val="sr-Cyrl-RS" w:eastAsia="ar-SA"/>
              </w:rPr>
            </w:pPr>
            <w:r w:rsidRPr="00C3418B">
              <w:rPr>
                <w:rFonts w:ascii="Times New Roman" w:hAnsi="Times New Roman"/>
                <w:b/>
                <w:bCs/>
                <w:w w:val="105"/>
                <w:sz w:val="18"/>
                <w:szCs w:val="18"/>
                <w:lang w:val="en-US" w:eastAsia="ar-SA"/>
              </w:rPr>
              <w:t>Available hardware and software upgrade options for future system expansion and enhancement.</w:t>
            </w:r>
          </w:p>
        </w:tc>
      </w:tr>
      <w:tr w:rsidR="004C7DA2" w:rsidRPr="00C3418B" w14:paraId="66668166" w14:textId="77777777" w:rsidTr="004C7DA2">
        <w:tc>
          <w:tcPr>
            <w:tcW w:w="1163" w:type="dxa"/>
            <w:tcBorders>
              <w:top w:val="single" w:sz="4" w:space="0" w:color="auto"/>
              <w:left w:val="single" w:sz="4" w:space="0" w:color="auto"/>
              <w:bottom w:val="single" w:sz="4" w:space="0" w:color="auto"/>
              <w:right w:val="single" w:sz="4" w:space="0" w:color="auto"/>
            </w:tcBorders>
          </w:tcPr>
          <w:p w14:paraId="518C5F79"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bookmarkStart w:id="3" w:name="_Hlk65594773"/>
          </w:p>
        </w:tc>
        <w:tc>
          <w:tcPr>
            <w:tcW w:w="709" w:type="dxa"/>
            <w:tcBorders>
              <w:top w:val="single" w:sz="4" w:space="0" w:color="auto"/>
              <w:left w:val="single" w:sz="4" w:space="0" w:color="auto"/>
              <w:bottom w:val="single" w:sz="4" w:space="0" w:color="auto"/>
              <w:right w:val="single" w:sz="4" w:space="0" w:color="auto"/>
            </w:tcBorders>
          </w:tcPr>
          <w:p w14:paraId="113794E7"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40.1</w:t>
            </w:r>
          </w:p>
        </w:tc>
        <w:tc>
          <w:tcPr>
            <w:tcW w:w="7512" w:type="dxa"/>
            <w:tcBorders>
              <w:top w:val="single" w:sz="4" w:space="0" w:color="auto"/>
              <w:left w:val="single" w:sz="4" w:space="0" w:color="auto"/>
              <w:bottom w:val="single" w:sz="4" w:space="0" w:color="auto"/>
              <w:right w:val="single" w:sz="4" w:space="0" w:color="auto"/>
            </w:tcBorders>
          </w:tcPr>
          <w:p w14:paraId="1C5823A2" w14:textId="77777777" w:rsidR="004C7DA2" w:rsidRPr="00C3418B" w:rsidRDefault="004C7DA2" w:rsidP="004C7DA2">
            <w:pPr>
              <w:keepNext/>
              <w:tabs>
                <w:tab w:val="left" w:pos="1440"/>
              </w:tabs>
              <w:spacing w:before="0" w:after="60"/>
              <w:ind w:right="-108"/>
              <w:jc w:val="both"/>
              <w:outlineLvl w:val="2"/>
              <w:rPr>
                <w:rFonts w:ascii="Times New Roman" w:hAnsi="Times New Roman"/>
                <w:bCs/>
                <w:sz w:val="18"/>
                <w:szCs w:val="18"/>
                <w:lang w:val="sr-Latn-RS" w:eastAsia="ar-SA"/>
              </w:rPr>
            </w:pPr>
            <w:r w:rsidRPr="00C3418B">
              <w:rPr>
                <w:rFonts w:ascii="Times New Roman" w:hAnsi="Times New Roman"/>
                <w:bCs/>
                <w:sz w:val="18"/>
                <w:szCs w:val="18"/>
                <w:lang w:val="en-US" w:eastAsia="ar-SA"/>
              </w:rPr>
              <w:t>Fusion of 4D ultrasound acquisition with CT acquisition in DICOM format.</w:t>
            </w:r>
          </w:p>
        </w:tc>
      </w:tr>
      <w:tr w:rsidR="004C7DA2" w:rsidRPr="00C3418B" w14:paraId="778A2851" w14:textId="77777777" w:rsidTr="004C7DA2">
        <w:tc>
          <w:tcPr>
            <w:tcW w:w="1163" w:type="dxa"/>
            <w:tcBorders>
              <w:top w:val="single" w:sz="4" w:space="0" w:color="auto"/>
              <w:left w:val="single" w:sz="4" w:space="0" w:color="auto"/>
              <w:bottom w:val="single" w:sz="4" w:space="0" w:color="auto"/>
              <w:right w:val="single" w:sz="4" w:space="0" w:color="auto"/>
            </w:tcBorders>
          </w:tcPr>
          <w:p w14:paraId="057F152D" w14:textId="77777777" w:rsidR="004C7DA2" w:rsidRPr="00C3418B" w:rsidRDefault="004C7DA2" w:rsidP="004C7DA2">
            <w:pPr>
              <w:tabs>
                <w:tab w:val="left" w:pos="1440"/>
              </w:tabs>
              <w:spacing w:before="0"/>
              <w:jc w:val="center"/>
              <w:rPr>
                <w:rFonts w:ascii="Times New Roman" w:eastAsia="Calibri" w:hAnsi="Times New Roman"/>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75C2122"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40.2</w:t>
            </w:r>
          </w:p>
        </w:tc>
        <w:tc>
          <w:tcPr>
            <w:tcW w:w="7512" w:type="dxa"/>
            <w:tcBorders>
              <w:top w:val="single" w:sz="4" w:space="0" w:color="auto"/>
              <w:left w:val="single" w:sz="4" w:space="0" w:color="auto"/>
              <w:bottom w:val="single" w:sz="4" w:space="0" w:color="auto"/>
              <w:right w:val="single" w:sz="4" w:space="0" w:color="auto"/>
            </w:tcBorders>
          </w:tcPr>
          <w:p w14:paraId="247001A0" w14:textId="77777777" w:rsidR="004C7DA2" w:rsidRPr="00C3418B" w:rsidRDefault="004C7DA2" w:rsidP="004C7DA2">
            <w:pPr>
              <w:keepNext/>
              <w:tabs>
                <w:tab w:val="left" w:pos="1440"/>
              </w:tabs>
              <w:spacing w:before="0" w:after="60"/>
              <w:ind w:right="-108"/>
              <w:jc w:val="both"/>
              <w:outlineLvl w:val="2"/>
              <w:rPr>
                <w:rFonts w:ascii="Times New Roman" w:hAnsi="Times New Roman"/>
                <w:bCs/>
                <w:sz w:val="18"/>
                <w:szCs w:val="18"/>
                <w:lang w:val="sr-Latn-RS" w:eastAsia="ar-SA"/>
              </w:rPr>
            </w:pPr>
            <w:r w:rsidRPr="00C3418B">
              <w:rPr>
                <w:rFonts w:ascii="Times New Roman" w:hAnsi="Times New Roman"/>
                <w:bCs/>
                <w:sz w:val="18"/>
                <w:szCs w:val="18"/>
                <w:lang w:val="en-US" w:eastAsia="ar-SA"/>
              </w:rPr>
              <w:t>4D transesophageal matrix array transducer with a frequency bandwidth of 3.5–6.8 MHz or wider, providing a minimum field of view (FOV) of 90° and featuring at least 2,300 elements.</w:t>
            </w:r>
          </w:p>
        </w:tc>
      </w:tr>
      <w:bookmarkEnd w:id="3"/>
      <w:tr w:rsidR="004C7DA2" w:rsidRPr="00C3418B" w14:paraId="7A2B86D2" w14:textId="77777777" w:rsidTr="004C7DA2">
        <w:tc>
          <w:tcPr>
            <w:tcW w:w="1163" w:type="dxa"/>
            <w:tcBorders>
              <w:top w:val="single" w:sz="4" w:space="0" w:color="auto"/>
              <w:left w:val="single" w:sz="4" w:space="0" w:color="auto"/>
              <w:bottom w:val="single" w:sz="4" w:space="0" w:color="auto"/>
              <w:right w:val="single" w:sz="4" w:space="0" w:color="auto"/>
            </w:tcBorders>
            <w:hideMark/>
          </w:tcPr>
          <w:p w14:paraId="0A39AB55"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43</w:t>
            </w:r>
          </w:p>
        </w:tc>
        <w:tc>
          <w:tcPr>
            <w:tcW w:w="8221" w:type="dxa"/>
            <w:gridSpan w:val="2"/>
            <w:tcBorders>
              <w:top w:val="single" w:sz="4" w:space="0" w:color="auto"/>
              <w:left w:val="single" w:sz="4" w:space="0" w:color="auto"/>
              <w:bottom w:val="single" w:sz="4" w:space="0" w:color="auto"/>
              <w:right w:val="single" w:sz="4" w:space="0" w:color="auto"/>
            </w:tcBorders>
          </w:tcPr>
          <w:p w14:paraId="616E91C0" w14:textId="77777777" w:rsidR="004C7DA2" w:rsidRPr="00C3418B" w:rsidRDefault="004C7DA2" w:rsidP="004C7DA2">
            <w:pPr>
              <w:tabs>
                <w:tab w:val="left" w:pos="1440"/>
              </w:tabs>
              <w:autoSpaceDE w:val="0"/>
              <w:autoSpaceDN w:val="0"/>
              <w:adjustRightInd w:val="0"/>
              <w:spacing w:before="0" w:after="0"/>
              <w:jc w:val="both"/>
              <w:rPr>
                <w:rFonts w:ascii="Times New Roman" w:eastAsia="Arial" w:hAnsi="Times New Roman"/>
                <w:sz w:val="18"/>
                <w:szCs w:val="18"/>
                <w:lang w:val="sr-Cyrl-RS" w:eastAsia="ar-SA"/>
              </w:rPr>
            </w:pPr>
            <w:r w:rsidRPr="00C3418B">
              <w:rPr>
                <w:rFonts w:ascii="Times New Roman" w:hAnsi="Times New Roman"/>
                <w:sz w:val="18"/>
                <w:szCs w:val="18"/>
                <w:lang w:val="en-US" w:eastAsia="ar-SA"/>
              </w:rPr>
              <w:t>Integrated black-and-white thermal printer.</w:t>
            </w:r>
          </w:p>
        </w:tc>
      </w:tr>
      <w:tr w:rsidR="004C7DA2" w:rsidRPr="00C3418B" w14:paraId="64FADCF2" w14:textId="77777777" w:rsidTr="004C7DA2">
        <w:tc>
          <w:tcPr>
            <w:tcW w:w="1163" w:type="dxa"/>
            <w:tcBorders>
              <w:top w:val="single" w:sz="4" w:space="0" w:color="auto"/>
              <w:left w:val="single" w:sz="4" w:space="0" w:color="auto"/>
              <w:bottom w:val="single" w:sz="4" w:space="0" w:color="auto"/>
              <w:right w:val="single" w:sz="4" w:space="0" w:color="auto"/>
            </w:tcBorders>
          </w:tcPr>
          <w:p w14:paraId="72E026DD" w14:textId="77777777" w:rsidR="004C7DA2" w:rsidRPr="00C3418B" w:rsidRDefault="004C7DA2" w:rsidP="004C7DA2">
            <w:pPr>
              <w:tabs>
                <w:tab w:val="left" w:pos="1440"/>
              </w:tabs>
              <w:spacing w:before="0"/>
              <w:jc w:val="center"/>
              <w:rPr>
                <w:rFonts w:ascii="Times New Roman" w:eastAsia="Calibri" w:hAnsi="Times New Roman"/>
                <w:sz w:val="18"/>
                <w:szCs w:val="18"/>
                <w:lang w:val="sr-Latn-RS" w:eastAsia="ar-SA"/>
              </w:rPr>
            </w:pPr>
            <w:r w:rsidRPr="00C3418B">
              <w:rPr>
                <w:rFonts w:ascii="Times New Roman" w:eastAsia="Calibri" w:hAnsi="Times New Roman"/>
                <w:sz w:val="18"/>
                <w:szCs w:val="18"/>
                <w:lang w:val="sr-Latn-RS" w:eastAsia="ar-SA"/>
              </w:rPr>
              <w:t>44</w:t>
            </w:r>
          </w:p>
        </w:tc>
        <w:tc>
          <w:tcPr>
            <w:tcW w:w="8221" w:type="dxa"/>
            <w:gridSpan w:val="2"/>
            <w:tcBorders>
              <w:top w:val="single" w:sz="4" w:space="0" w:color="auto"/>
              <w:left w:val="single" w:sz="4" w:space="0" w:color="auto"/>
              <w:bottom w:val="single" w:sz="4" w:space="0" w:color="auto"/>
              <w:right w:val="single" w:sz="4" w:space="0" w:color="auto"/>
            </w:tcBorders>
          </w:tcPr>
          <w:p w14:paraId="1C3FE0CD" w14:textId="77777777" w:rsidR="004C7DA2" w:rsidRPr="00C3418B" w:rsidRDefault="004C7DA2" w:rsidP="004C7DA2">
            <w:pPr>
              <w:tabs>
                <w:tab w:val="left" w:pos="1440"/>
              </w:tabs>
              <w:autoSpaceDE w:val="0"/>
              <w:autoSpaceDN w:val="0"/>
              <w:adjustRightInd w:val="0"/>
              <w:spacing w:before="0" w:after="0"/>
              <w:jc w:val="both"/>
              <w:rPr>
                <w:rFonts w:ascii="Times New Roman" w:hAnsi="Times New Roman"/>
                <w:sz w:val="18"/>
                <w:szCs w:val="18"/>
                <w:lang w:val="en-US" w:eastAsia="ar-SA"/>
              </w:rPr>
            </w:pPr>
            <w:r w:rsidRPr="00C3418B">
              <w:rPr>
                <w:rFonts w:ascii="Times New Roman" w:hAnsi="Times New Roman"/>
                <w:sz w:val="18"/>
                <w:szCs w:val="18"/>
                <w:lang w:val="en-US" w:eastAsia="ar-SA"/>
              </w:rPr>
              <w:t>Maximum system weight: 121 kg (±10% tolerance).</w:t>
            </w:r>
          </w:p>
        </w:tc>
      </w:tr>
    </w:tbl>
    <w:p w14:paraId="0DCB45AF" w14:textId="1DD68146" w:rsidR="009A35ED" w:rsidRPr="0058467F" w:rsidRDefault="00E462B3" w:rsidP="00C3418B">
      <w:pPr>
        <w:jc w:val="both"/>
        <w:rPr>
          <w:rFonts w:ascii="Times New Roman" w:hAnsi="Times New Roman"/>
          <w:b/>
          <w:bCs/>
        </w:rPr>
      </w:pPr>
      <w:r w:rsidRPr="0058467F">
        <w:rPr>
          <w:rFonts w:ascii="Times New Roman" w:hAnsi="Times New Roman"/>
          <w:b/>
          <w:bCs/>
        </w:rPr>
        <w:t xml:space="preserve">       </w:t>
      </w:r>
      <w:r w:rsidR="00C3418B" w:rsidRPr="0058467F">
        <w:rPr>
          <w:rFonts w:ascii="Times New Roman" w:hAnsi="Times New Roman"/>
          <w:b/>
          <w:bCs/>
        </w:rPr>
        <w:t>Note: The tenderer shall submit a declaration, signed and stamped by an authorised representative, confirming that all software modules, applications and functionalities offered and specified in the Technical Specifications are perpetually licensed and fully enabled, and that their use is not time-limited nor subject to the payment of additional licence fees, subscriptions, activation fees or any other subsequent charges for the use of the functionalities covered by this procurement throughout the operational lifetime of the equipment.</w:t>
      </w:r>
    </w:p>
    <w:p w14:paraId="69DC983A" w14:textId="77777777" w:rsidR="00D31F8A" w:rsidRDefault="00D31F8A"/>
    <w:p w14:paraId="7ECADD32" w14:textId="77777777" w:rsidR="00C3418B" w:rsidRDefault="00C3418B"/>
    <w:p w14:paraId="32F32469" w14:textId="77777777" w:rsidR="00C3418B" w:rsidRDefault="00C3418B"/>
    <w:p w14:paraId="11FA110A" w14:textId="77777777" w:rsidR="00C3418B" w:rsidRDefault="00C3418B"/>
    <w:p w14:paraId="77C3ABEA" w14:textId="77777777" w:rsidR="00C3418B" w:rsidRDefault="00C3418B"/>
    <w:p w14:paraId="0790EED2" w14:textId="77777777" w:rsidR="00D31F8A" w:rsidRDefault="00D31F8A"/>
    <w:p w14:paraId="09B43DEA" w14:textId="77777777" w:rsidR="00D31F8A" w:rsidRDefault="00D31F8A"/>
    <w:p w14:paraId="13DDF9C5" w14:textId="1C77A1C6" w:rsidR="00D31F8A" w:rsidRDefault="00D31F8A">
      <w:pPr>
        <w:sectPr w:rsidR="00D31F8A">
          <w:headerReference w:type="even" r:id="rId9"/>
          <w:headerReference w:type="default" r:id="rId10"/>
          <w:footerReference w:type="even" r:id="rId11"/>
          <w:footerReference w:type="default" r:id="rId12"/>
          <w:headerReference w:type="first" r:id="rId13"/>
          <w:footerReference w:type="first" r:id="rId14"/>
          <w:type w:val="continuous"/>
          <w:pgSz w:w="11906" w:h="16838"/>
          <w:pgMar w:top="777" w:right="1418" w:bottom="1134" w:left="1134" w:header="720" w:footer="0" w:gutter="0"/>
          <w:cols w:space="720"/>
          <w:formProt w:val="0"/>
          <w:docGrid w:linePitch="100" w:charSpace="8192"/>
        </w:sectPr>
      </w:pPr>
    </w:p>
    <w:p w14:paraId="45C3AE0B" w14:textId="451321C6" w:rsidR="009A35ED" w:rsidRDefault="00000000">
      <w:pPr>
        <w:ind w:left="567"/>
        <w:jc w:val="both"/>
        <w:rPr>
          <w:rFonts w:ascii="Times New Roman" w:hAnsi="Times New Roman"/>
          <w:sz w:val="22"/>
        </w:rPr>
      </w:pPr>
      <w:r w:rsidRPr="004C7DA2">
        <w:rPr>
          <w:rFonts w:ascii="Times New Roman" w:hAnsi="Times New Roman"/>
          <w:sz w:val="22"/>
        </w:rPr>
        <w:lastRenderedPageBreak/>
        <w:t xml:space="preserve">The place of acceptance of the goods shall be </w:t>
      </w:r>
      <w:bookmarkStart w:id="4" w:name="_Hlk212699741"/>
      <w:r w:rsidRPr="004C7DA2">
        <w:rPr>
          <w:rFonts w:ascii="Times New Roman" w:hAnsi="Times New Roman"/>
          <w:sz w:val="22"/>
        </w:rPr>
        <w:t xml:space="preserve">University Clinical Hospital Mostar, </w:t>
      </w:r>
      <w:r w:rsidR="004C7DA2" w:rsidRPr="004C7DA2">
        <w:rPr>
          <w:rFonts w:ascii="Times New Roman" w:hAnsi="Times New Roman"/>
          <w:sz w:val="22"/>
        </w:rPr>
        <w:t>Clinical Department of Cardiology</w:t>
      </w:r>
      <w:r>
        <w:rPr>
          <w:rFonts w:ascii="Times New Roman" w:hAnsi="Times New Roman"/>
          <w:sz w:val="22"/>
        </w:rPr>
        <w:t xml:space="preserve">, </w:t>
      </w:r>
      <w:proofErr w:type="spellStart"/>
      <w:r>
        <w:rPr>
          <w:rFonts w:ascii="Times New Roman" w:hAnsi="Times New Roman"/>
          <w:sz w:val="22"/>
        </w:rPr>
        <w:t>Bijeli</w:t>
      </w:r>
      <w:proofErr w:type="spellEnd"/>
      <w:r>
        <w:rPr>
          <w:rFonts w:ascii="Times New Roman" w:hAnsi="Times New Roman"/>
          <w:sz w:val="22"/>
        </w:rPr>
        <w:t xml:space="preserve"> </w:t>
      </w:r>
      <w:proofErr w:type="spellStart"/>
      <w:r>
        <w:rPr>
          <w:rFonts w:ascii="Times New Roman" w:hAnsi="Times New Roman"/>
          <w:sz w:val="22"/>
        </w:rPr>
        <w:t>Brijeg</w:t>
      </w:r>
      <w:proofErr w:type="spellEnd"/>
      <w:r>
        <w:rPr>
          <w:rFonts w:ascii="Times New Roman" w:hAnsi="Times New Roman"/>
          <w:sz w:val="22"/>
        </w:rPr>
        <w:t xml:space="preserve"> bb, 88000 Mostar </w:t>
      </w:r>
      <w:bookmarkEnd w:id="4"/>
      <w:r>
        <w:rPr>
          <w:rFonts w:ascii="Times New Roman" w:hAnsi="Times New Roman"/>
          <w:sz w:val="22"/>
        </w:rPr>
        <w:t>and the Incoterm applicable shall be DDP</w:t>
      </w:r>
      <w:r>
        <w:rPr>
          <w:rStyle w:val="FootnoteAnchor"/>
          <w:rFonts w:ascii="Times New Roman" w:hAnsi="Times New Roman"/>
          <w:sz w:val="22"/>
        </w:rPr>
        <w:footnoteReference w:id="1"/>
      </w:r>
      <w:r>
        <w:rPr>
          <w:rFonts w:ascii="Times New Roman" w:hAnsi="Times New Roman"/>
          <w:sz w:val="22"/>
        </w:rPr>
        <w:t>.</w:t>
      </w:r>
    </w:p>
    <w:p w14:paraId="53D16ADD" w14:textId="126B0B1F" w:rsidR="00256146" w:rsidRPr="00256146" w:rsidRDefault="00256146" w:rsidP="00256146">
      <w:pPr>
        <w:pStyle w:val="Naslov2"/>
        <w:ind w:left="567" w:hanging="567"/>
        <w:rPr>
          <w:rFonts w:ascii="Times New Roman" w:hAnsi="Times New Roman"/>
          <w:sz w:val="22"/>
          <w:lang w:val="hr-BA"/>
        </w:rPr>
      </w:pPr>
      <w:r w:rsidRPr="00256146">
        <w:rPr>
          <w:rFonts w:ascii="Times New Roman" w:hAnsi="Times New Roman"/>
          <w:sz w:val="22"/>
          <w:lang w:val="hr-BA"/>
        </w:rPr>
        <w:t xml:space="preserve">Period </w:t>
      </w:r>
      <w:proofErr w:type="spellStart"/>
      <w:r w:rsidRPr="00256146">
        <w:rPr>
          <w:rFonts w:ascii="Times New Roman" w:hAnsi="Times New Roman"/>
          <w:sz w:val="22"/>
          <w:lang w:val="hr-BA"/>
        </w:rPr>
        <w:t>of</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implementation</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of</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tasks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is</w:t>
      </w:r>
      <w:proofErr w:type="spellEnd"/>
      <w:r w:rsidRPr="00256146">
        <w:rPr>
          <w:rFonts w:ascii="Times New Roman" w:hAnsi="Times New Roman"/>
          <w:sz w:val="22"/>
          <w:lang w:val="hr-BA"/>
        </w:rPr>
        <w:t xml:space="preserve"> </w:t>
      </w:r>
      <w:r w:rsidR="004C7DA2">
        <w:rPr>
          <w:rFonts w:ascii="Times New Roman" w:hAnsi="Times New Roman"/>
          <w:sz w:val="22"/>
          <w:lang w:val="hr-BA"/>
        </w:rPr>
        <w:t>60</w:t>
      </w:r>
      <w:r w:rsidRPr="00256146">
        <w:rPr>
          <w:rFonts w:ascii="Times New Roman" w:hAnsi="Times New Roman"/>
          <w:sz w:val="22"/>
          <w:lang w:val="hr-BA"/>
        </w:rPr>
        <w:t xml:space="preserve"> </w:t>
      </w:r>
      <w:proofErr w:type="spellStart"/>
      <w:r w:rsidRPr="00256146">
        <w:rPr>
          <w:rFonts w:ascii="Times New Roman" w:hAnsi="Times New Roman"/>
          <w:sz w:val="22"/>
          <w:lang w:val="hr-BA"/>
        </w:rPr>
        <w:t>calendar</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days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in</w:t>
      </w:r>
      <w:proofErr w:type="spellEnd"/>
      <w:r w:rsidRPr="00256146">
        <w:rPr>
          <w:rFonts w:ascii="Times New Roman" w:hAnsi="Times New Roman"/>
          <w:sz w:val="22"/>
          <w:lang w:val="hr-BA"/>
        </w:rPr>
        <w:t xml:space="preserve"> total from contract signature. This period includes supply, delivery </w:t>
      </w:r>
      <w:proofErr w:type="spellStart"/>
      <w:r w:rsidRPr="00256146">
        <w:rPr>
          <w:rFonts w:ascii="Times New Roman" w:hAnsi="Times New Roman"/>
          <w:sz w:val="22"/>
          <w:lang w:val="hr-BA"/>
        </w:rPr>
        <w:t>and</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installment</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of</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the</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equipment</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in</w:t>
      </w:r>
      <w:proofErr w:type="spellEnd"/>
      <w:r w:rsidRPr="00256146">
        <w:rPr>
          <w:rFonts w:ascii="Times New Roman" w:hAnsi="Times New Roman"/>
          <w:sz w:val="22"/>
          <w:lang w:val="hr-BA"/>
        </w:rPr>
        <w:t xml:space="preserve"> 60 </w:t>
      </w:r>
      <w:proofErr w:type="spellStart"/>
      <w:r w:rsidRPr="00256146">
        <w:rPr>
          <w:rFonts w:ascii="Times New Roman" w:hAnsi="Times New Roman"/>
          <w:sz w:val="22"/>
          <w:lang w:val="hr-BA"/>
        </w:rPr>
        <w:t>calendar</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days</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by</w:t>
      </w:r>
      <w:proofErr w:type="spellEnd"/>
      <w:r w:rsidRPr="00256146">
        <w:rPr>
          <w:rFonts w:ascii="Times New Roman" w:hAnsi="Times New Roman"/>
          <w:sz w:val="22"/>
          <w:lang w:val="hr-BA"/>
        </w:rPr>
        <w:t xml:space="preserve"> </w:t>
      </w:r>
      <w:proofErr w:type="spellStart"/>
      <w:r w:rsidRPr="00256146">
        <w:rPr>
          <w:rFonts w:ascii="Times New Roman" w:hAnsi="Times New Roman"/>
          <w:sz w:val="22"/>
          <w:lang w:val="hr-BA"/>
        </w:rPr>
        <w:t>the</w:t>
      </w:r>
      <w:proofErr w:type="spellEnd"/>
      <w:r w:rsidRPr="00256146">
        <w:rPr>
          <w:rFonts w:ascii="Times New Roman" w:hAnsi="Times New Roman"/>
          <w:sz w:val="22"/>
          <w:lang w:val="hr-BA"/>
        </w:rPr>
        <w:t xml:space="preserve"> tenderer and 30 days for Contracting Authority to issue certificate of provisional acceptance.</w:t>
      </w:r>
    </w:p>
    <w:p w14:paraId="252B5283"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1.2</w:t>
      </w:r>
      <w:r>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Start w:id="5" w:name="_Ref500330319"/>
      <w:bookmarkStart w:id="6" w:name="_Ref499723935"/>
      <w:bookmarkEnd w:id="5"/>
      <w:bookmarkEnd w:id="6"/>
    </w:p>
    <w:p w14:paraId="0A0939E5"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 xml:space="preserve">1.4 </w:t>
      </w:r>
      <w:r>
        <w:rPr>
          <w:rFonts w:ascii="Times New Roman" w:hAnsi="Times New Roman"/>
          <w:sz w:val="22"/>
          <w:lang w:val="en-GB"/>
        </w:rPr>
        <w:tab/>
        <w:t xml:space="preserve">Tenderers are not authorised to tender for a variant solution in addition to the present tender. </w:t>
      </w:r>
      <w:r>
        <w:rPr>
          <w:rFonts w:ascii="Times New Roman" w:hAnsi="Times New Roman"/>
          <w:sz w:val="22"/>
          <w:lang w:val="en-GB"/>
        </w:rPr>
        <w:br/>
      </w:r>
    </w:p>
    <w:p w14:paraId="1EFEB28D" w14:textId="77777777" w:rsidR="009A35ED" w:rsidRDefault="00000000">
      <w:pPr>
        <w:pStyle w:val="Naslov1"/>
        <w:numPr>
          <w:ilvl w:val="0"/>
          <w:numId w:val="2"/>
        </w:numPr>
      </w:pPr>
      <w:bookmarkStart w:id="7" w:name="_Toc42488071"/>
      <w:r>
        <w:t>Timetable</w:t>
      </w:r>
      <w:bookmarkEnd w:id="7"/>
    </w:p>
    <w:tbl>
      <w:tblPr>
        <w:tblW w:w="8647" w:type="dxa"/>
        <w:tblInd w:w="108" w:type="dxa"/>
        <w:tblLook w:val="0000" w:firstRow="0" w:lastRow="0" w:firstColumn="0" w:lastColumn="0" w:noHBand="0" w:noVBand="0"/>
      </w:tblPr>
      <w:tblGrid>
        <w:gridCol w:w="3968"/>
        <w:gridCol w:w="2410"/>
        <w:gridCol w:w="2269"/>
      </w:tblGrid>
      <w:tr w:rsidR="00693502" w:rsidRPr="00693502" w14:paraId="10ADE8B1" w14:textId="77777777">
        <w:tc>
          <w:tcPr>
            <w:tcW w:w="3968" w:type="dxa"/>
            <w:tcBorders>
              <w:top w:val="single" w:sz="4" w:space="0" w:color="000000"/>
              <w:left w:val="single" w:sz="4" w:space="0" w:color="000000"/>
              <w:right w:val="single" w:sz="4" w:space="0" w:color="000000"/>
            </w:tcBorders>
          </w:tcPr>
          <w:p w14:paraId="47B85009" w14:textId="77777777" w:rsidR="00693502" w:rsidRPr="00693502" w:rsidRDefault="00693502" w:rsidP="00693502">
            <w:bookmarkStart w:id="8" w:name="_Hlk213399123"/>
          </w:p>
        </w:tc>
        <w:tc>
          <w:tcPr>
            <w:tcW w:w="2410" w:type="dxa"/>
            <w:tcBorders>
              <w:top w:val="single" w:sz="4" w:space="0" w:color="000000"/>
              <w:left w:val="single" w:sz="4" w:space="0" w:color="000000"/>
              <w:bottom w:val="single" w:sz="4" w:space="0" w:color="000000"/>
              <w:right w:val="single" w:sz="4" w:space="0" w:color="000000"/>
            </w:tcBorders>
            <w:shd w:val="pct10" w:color="auto" w:fill="FFFFFF"/>
          </w:tcPr>
          <w:p w14:paraId="04E34549" w14:textId="77777777" w:rsidR="00693502" w:rsidRPr="00693502" w:rsidRDefault="00693502" w:rsidP="00693502">
            <w:pPr>
              <w:rPr>
                <w:b/>
              </w:rPr>
            </w:pPr>
            <w:r w:rsidRPr="00693502">
              <w:rPr>
                <w:b/>
              </w:rPr>
              <w:t>DATE</w:t>
            </w:r>
          </w:p>
        </w:tc>
        <w:tc>
          <w:tcPr>
            <w:tcW w:w="2269" w:type="dxa"/>
            <w:tcBorders>
              <w:top w:val="single" w:sz="4" w:space="0" w:color="000000"/>
              <w:left w:val="single" w:sz="4" w:space="0" w:color="000000"/>
              <w:right w:val="single" w:sz="4" w:space="0" w:color="000000"/>
            </w:tcBorders>
            <w:shd w:val="pct10" w:color="auto" w:fill="FFFFFF"/>
          </w:tcPr>
          <w:p w14:paraId="1DE5B718" w14:textId="77777777" w:rsidR="00693502" w:rsidRPr="00693502" w:rsidRDefault="00693502" w:rsidP="00693502">
            <w:pPr>
              <w:rPr>
                <w:b/>
              </w:rPr>
            </w:pPr>
            <w:r w:rsidRPr="00693502">
              <w:rPr>
                <w:b/>
              </w:rPr>
              <w:t>TIME*</w:t>
            </w:r>
          </w:p>
        </w:tc>
      </w:tr>
      <w:tr w:rsidR="00693502" w:rsidRPr="00693502" w14:paraId="3CD9A13F"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7AC48106" w14:textId="77777777" w:rsidR="00693502" w:rsidRPr="00693502" w:rsidRDefault="00693502" w:rsidP="00693502">
            <w:pPr>
              <w:rPr>
                <w:b/>
              </w:rPr>
            </w:pPr>
            <w:r w:rsidRPr="00693502">
              <w:rPr>
                <w:b/>
              </w:rPr>
              <w:t>Clarification meeting / site visit (if any)</w:t>
            </w:r>
          </w:p>
        </w:tc>
        <w:tc>
          <w:tcPr>
            <w:tcW w:w="2410" w:type="dxa"/>
            <w:tcBorders>
              <w:top w:val="single" w:sz="4" w:space="0" w:color="000000"/>
              <w:left w:val="single" w:sz="4" w:space="0" w:color="000000"/>
              <w:bottom w:val="single" w:sz="4" w:space="0" w:color="000000"/>
              <w:right w:val="single" w:sz="4" w:space="0" w:color="000000"/>
            </w:tcBorders>
          </w:tcPr>
          <w:p w14:paraId="35A73A37" w14:textId="453EF40E" w:rsidR="00693502" w:rsidRPr="00693502" w:rsidRDefault="00A224A7" w:rsidP="00A224A7">
            <w:r>
              <w:t>N/a</w:t>
            </w:r>
          </w:p>
        </w:tc>
        <w:tc>
          <w:tcPr>
            <w:tcW w:w="2269" w:type="dxa"/>
            <w:tcBorders>
              <w:top w:val="single" w:sz="4" w:space="0" w:color="000000"/>
              <w:left w:val="single" w:sz="4" w:space="0" w:color="000000"/>
              <w:bottom w:val="single" w:sz="4" w:space="0" w:color="000000"/>
              <w:right w:val="single" w:sz="4" w:space="0" w:color="000000"/>
            </w:tcBorders>
          </w:tcPr>
          <w:p w14:paraId="6D10E978" w14:textId="2DD636EF" w:rsidR="00693502" w:rsidRPr="00693502" w:rsidRDefault="00A224A7" w:rsidP="00A224A7">
            <w:r>
              <w:t>N/a</w:t>
            </w:r>
          </w:p>
        </w:tc>
      </w:tr>
      <w:tr w:rsidR="00693502" w:rsidRPr="00693502" w14:paraId="284405AA"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40BC316" w14:textId="77777777" w:rsidR="00693502" w:rsidRPr="00693502" w:rsidRDefault="00693502" w:rsidP="00693502">
            <w:pPr>
              <w:rPr>
                <w:b/>
              </w:rPr>
            </w:pPr>
            <w:r w:rsidRPr="00693502">
              <w:rPr>
                <w:b/>
              </w:rPr>
              <w:t>Deadline for requesting clarifications from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5247C442" w14:textId="5F761B8E" w:rsidR="00693502" w:rsidRPr="00693502" w:rsidRDefault="004C7DA2" w:rsidP="00693502">
            <w:r>
              <w:t>August, 20</w:t>
            </w:r>
            <w:r w:rsidR="00693502" w:rsidRPr="00693502">
              <w:t>.2026.</w:t>
            </w:r>
          </w:p>
        </w:tc>
        <w:tc>
          <w:tcPr>
            <w:tcW w:w="2269" w:type="dxa"/>
            <w:tcBorders>
              <w:top w:val="single" w:sz="4" w:space="0" w:color="000000"/>
              <w:left w:val="single" w:sz="4" w:space="0" w:color="000000"/>
              <w:bottom w:val="single" w:sz="4" w:space="0" w:color="000000"/>
              <w:right w:val="single" w:sz="4" w:space="0" w:color="000000"/>
            </w:tcBorders>
          </w:tcPr>
          <w:p w14:paraId="26410AB2" w14:textId="77777777" w:rsidR="00693502" w:rsidRPr="00693502" w:rsidRDefault="00693502" w:rsidP="00693502">
            <w:r w:rsidRPr="00693502">
              <w:t xml:space="preserve">At 12:00 CET </w:t>
            </w:r>
          </w:p>
        </w:tc>
      </w:tr>
      <w:tr w:rsidR="00693502" w:rsidRPr="00693502" w14:paraId="4ABE146E"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49A0AAC" w14:textId="77777777" w:rsidR="00693502" w:rsidRPr="00693502" w:rsidRDefault="00693502" w:rsidP="00693502">
            <w:pPr>
              <w:rPr>
                <w:b/>
              </w:rPr>
            </w:pPr>
            <w:r w:rsidRPr="00693502">
              <w:rPr>
                <w:b/>
              </w:rPr>
              <w:t>Last date on which clarifications are issued by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34984000" w14:textId="34341957" w:rsidR="00693502" w:rsidRPr="00693502" w:rsidRDefault="004C7DA2" w:rsidP="00693502">
            <w:r>
              <w:t>August 31</w:t>
            </w:r>
            <w:r w:rsidR="00693502" w:rsidRPr="00693502">
              <w:t xml:space="preserve">.2026. </w:t>
            </w:r>
          </w:p>
        </w:tc>
        <w:tc>
          <w:tcPr>
            <w:tcW w:w="2269" w:type="dxa"/>
            <w:tcBorders>
              <w:top w:val="single" w:sz="4" w:space="0" w:color="000000"/>
              <w:left w:val="single" w:sz="4" w:space="0" w:color="000000"/>
              <w:bottom w:val="single" w:sz="4" w:space="0" w:color="000000"/>
              <w:right w:val="single" w:sz="4" w:space="0" w:color="000000"/>
            </w:tcBorders>
          </w:tcPr>
          <w:p w14:paraId="4FDC1FD5" w14:textId="77777777" w:rsidR="00693502" w:rsidRPr="00693502" w:rsidRDefault="00693502" w:rsidP="00693502">
            <w:r w:rsidRPr="00693502">
              <w:t>At 12:00 CET</w:t>
            </w:r>
          </w:p>
        </w:tc>
      </w:tr>
      <w:tr w:rsidR="00693502" w:rsidRPr="00693502" w14:paraId="3630AD90"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7922A8EF" w14:textId="77777777" w:rsidR="00693502" w:rsidRPr="00693502" w:rsidRDefault="00693502" w:rsidP="00693502">
            <w:pPr>
              <w:rPr>
                <w:b/>
              </w:rPr>
            </w:pPr>
            <w:r w:rsidRPr="00693502">
              <w:rPr>
                <w:b/>
              </w:rPr>
              <w:t>Deadline for submission of tenders</w:t>
            </w:r>
          </w:p>
        </w:tc>
        <w:tc>
          <w:tcPr>
            <w:tcW w:w="2410" w:type="dxa"/>
            <w:tcBorders>
              <w:top w:val="single" w:sz="4" w:space="0" w:color="000000"/>
              <w:left w:val="single" w:sz="4" w:space="0" w:color="000000"/>
              <w:bottom w:val="single" w:sz="4" w:space="0" w:color="000000"/>
              <w:right w:val="single" w:sz="4" w:space="0" w:color="000000"/>
            </w:tcBorders>
          </w:tcPr>
          <w:p w14:paraId="41B7C505" w14:textId="0947B82E" w:rsidR="00693502" w:rsidRPr="00693502" w:rsidRDefault="004C7DA2" w:rsidP="00693502">
            <w:proofErr w:type="gramStart"/>
            <w:r>
              <w:t>September</w:t>
            </w:r>
            <w:r w:rsidR="00A224A7">
              <w:t>,</w:t>
            </w:r>
            <w:proofErr w:type="gramEnd"/>
            <w:r>
              <w:t xml:space="preserve"> 09</w:t>
            </w:r>
            <w:r w:rsidR="00693502" w:rsidRPr="00693502">
              <w:t>. 2026.</w:t>
            </w:r>
          </w:p>
        </w:tc>
        <w:tc>
          <w:tcPr>
            <w:tcW w:w="2269" w:type="dxa"/>
            <w:tcBorders>
              <w:top w:val="single" w:sz="4" w:space="0" w:color="000000"/>
              <w:left w:val="single" w:sz="4" w:space="0" w:color="000000"/>
              <w:bottom w:val="single" w:sz="4" w:space="0" w:color="000000"/>
              <w:right w:val="single" w:sz="4" w:space="0" w:color="000000"/>
            </w:tcBorders>
          </w:tcPr>
          <w:p w14:paraId="420E35BF" w14:textId="77777777" w:rsidR="00693502" w:rsidRPr="00693502" w:rsidRDefault="00693502" w:rsidP="00693502">
            <w:r w:rsidRPr="00693502">
              <w:t>10:00 CET</w:t>
            </w:r>
          </w:p>
        </w:tc>
      </w:tr>
      <w:tr w:rsidR="00693502" w:rsidRPr="00693502" w14:paraId="6D1B80B0"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47F4A9A" w14:textId="77777777" w:rsidR="00693502" w:rsidRPr="00693502" w:rsidRDefault="00693502" w:rsidP="00693502">
            <w:pPr>
              <w:rPr>
                <w:b/>
              </w:rPr>
            </w:pPr>
            <w:r w:rsidRPr="00693502">
              <w:rPr>
                <w:b/>
              </w:rPr>
              <w:t>Tender opening session</w:t>
            </w:r>
          </w:p>
        </w:tc>
        <w:tc>
          <w:tcPr>
            <w:tcW w:w="2410" w:type="dxa"/>
            <w:tcBorders>
              <w:top w:val="single" w:sz="4" w:space="0" w:color="000000"/>
              <w:left w:val="single" w:sz="4" w:space="0" w:color="000000"/>
              <w:bottom w:val="single" w:sz="4" w:space="0" w:color="000000"/>
              <w:right w:val="single" w:sz="4" w:space="0" w:color="000000"/>
            </w:tcBorders>
          </w:tcPr>
          <w:p w14:paraId="225DAEE5" w14:textId="1F7181A6" w:rsidR="00693502" w:rsidRPr="00693502" w:rsidRDefault="004C7DA2" w:rsidP="00693502">
            <w:proofErr w:type="gramStart"/>
            <w:r w:rsidRPr="004C7DA2">
              <w:t>Septe</w:t>
            </w:r>
            <w:r>
              <w:t>m</w:t>
            </w:r>
            <w:r w:rsidRPr="004C7DA2">
              <w:t>ber,</w:t>
            </w:r>
            <w:proofErr w:type="gramEnd"/>
            <w:r w:rsidRPr="004C7DA2">
              <w:t xml:space="preserve"> 09</w:t>
            </w:r>
            <w:r w:rsidR="00693502" w:rsidRPr="00693502">
              <w:t>. 2026.</w:t>
            </w:r>
          </w:p>
        </w:tc>
        <w:tc>
          <w:tcPr>
            <w:tcW w:w="2269" w:type="dxa"/>
            <w:tcBorders>
              <w:top w:val="single" w:sz="4" w:space="0" w:color="000000"/>
              <w:left w:val="single" w:sz="4" w:space="0" w:color="000000"/>
              <w:bottom w:val="single" w:sz="4" w:space="0" w:color="000000"/>
              <w:right w:val="single" w:sz="4" w:space="0" w:color="000000"/>
            </w:tcBorders>
          </w:tcPr>
          <w:p w14:paraId="7F0B3C76" w14:textId="77777777" w:rsidR="00693502" w:rsidRPr="00693502" w:rsidRDefault="00693502" w:rsidP="00693502">
            <w:r w:rsidRPr="00693502">
              <w:t xml:space="preserve">12:00 CET </w:t>
            </w:r>
          </w:p>
        </w:tc>
      </w:tr>
      <w:tr w:rsidR="00693502" w:rsidRPr="00693502" w14:paraId="4386295D"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324C9A9" w14:textId="77777777" w:rsidR="00693502" w:rsidRPr="00693502" w:rsidRDefault="00693502" w:rsidP="00693502">
            <w:pPr>
              <w:rPr>
                <w:b/>
              </w:rPr>
            </w:pPr>
            <w:r w:rsidRPr="00693502">
              <w:rPr>
                <w:b/>
              </w:rPr>
              <w:t>Notification of award to the successful tenderer**</w:t>
            </w:r>
          </w:p>
        </w:tc>
        <w:tc>
          <w:tcPr>
            <w:tcW w:w="2410" w:type="dxa"/>
            <w:tcBorders>
              <w:top w:val="single" w:sz="4" w:space="0" w:color="000000"/>
              <w:left w:val="single" w:sz="4" w:space="0" w:color="000000"/>
              <w:bottom w:val="single" w:sz="4" w:space="0" w:color="000000"/>
              <w:right w:val="single" w:sz="4" w:space="0" w:color="000000"/>
            </w:tcBorders>
          </w:tcPr>
          <w:p w14:paraId="45593D9F" w14:textId="36EDCB48" w:rsidR="00693502" w:rsidRPr="00693502" w:rsidRDefault="004C7DA2" w:rsidP="00693502">
            <w:proofErr w:type="gramStart"/>
            <w:r>
              <w:t>September,</w:t>
            </w:r>
            <w:proofErr w:type="gramEnd"/>
            <w:r>
              <w:t xml:space="preserve"> 14</w:t>
            </w:r>
            <w:r w:rsidR="00693502" w:rsidRPr="00693502">
              <w:t>. 2026,</w:t>
            </w:r>
          </w:p>
        </w:tc>
        <w:tc>
          <w:tcPr>
            <w:tcW w:w="2269" w:type="dxa"/>
            <w:tcBorders>
              <w:top w:val="single" w:sz="4" w:space="0" w:color="000000"/>
              <w:left w:val="single" w:sz="4" w:space="0" w:color="000000"/>
              <w:bottom w:val="single" w:sz="4" w:space="0" w:color="000000"/>
              <w:right w:val="single" w:sz="4" w:space="0" w:color="000000"/>
            </w:tcBorders>
          </w:tcPr>
          <w:p w14:paraId="0B9DE5D1" w14:textId="77777777" w:rsidR="00693502" w:rsidRPr="00693502" w:rsidRDefault="00693502" w:rsidP="00693502">
            <w:r w:rsidRPr="00693502">
              <w:t>-</w:t>
            </w:r>
          </w:p>
        </w:tc>
      </w:tr>
      <w:tr w:rsidR="00693502" w:rsidRPr="00693502" w14:paraId="67D7C795"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CEDB599" w14:textId="77777777" w:rsidR="00693502" w:rsidRPr="00693502" w:rsidRDefault="00693502" w:rsidP="00693502">
            <w:pPr>
              <w:rPr>
                <w:b/>
              </w:rPr>
            </w:pPr>
            <w:r w:rsidRPr="00693502">
              <w:rPr>
                <w:b/>
              </w:rPr>
              <w:t>Signature of the contract**</w:t>
            </w:r>
          </w:p>
        </w:tc>
        <w:tc>
          <w:tcPr>
            <w:tcW w:w="2410" w:type="dxa"/>
            <w:tcBorders>
              <w:top w:val="single" w:sz="4" w:space="0" w:color="000000"/>
              <w:left w:val="single" w:sz="4" w:space="0" w:color="000000"/>
              <w:bottom w:val="single" w:sz="4" w:space="0" w:color="000000"/>
              <w:right w:val="single" w:sz="4" w:space="0" w:color="000000"/>
            </w:tcBorders>
          </w:tcPr>
          <w:p w14:paraId="165C55C6" w14:textId="2297EF2E" w:rsidR="00693502" w:rsidRPr="00693502" w:rsidRDefault="004C7DA2" w:rsidP="00693502">
            <w:r>
              <w:t>September, 24</w:t>
            </w:r>
            <w:r w:rsidR="00693502" w:rsidRPr="00693502">
              <w:t>.2026.</w:t>
            </w:r>
          </w:p>
        </w:tc>
        <w:tc>
          <w:tcPr>
            <w:tcW w:w="2269" w:type="dxa"/>
            <w:tcBorders>
              <w:top w:val="single" w:sz="4" w:space="0" w:color="000000"/>
              <w:left w:val="single" w:sz="4" w:space="0" w:color="000000"/>
              <w:bottom w:val="single" w:sz="4" w:space="0" w:color="000000"/>
              <w:right w:val="single" w:sz="4" w:space="0" w:color="000000"/>
            </w:tcBorders>
          </w:tcPr>
          <w:p w14:paraId="6F534054" w14:textId="77777777" w:rsidR="00693502" w:rsidRPr="00693502" w:rsidRDefault="00693502" w:rsidP="00693502">
            <w:r w:rsidRPr="00693502">
              <w:t>-</w:t>
            </w:r>
          </w:p>
        </w:tc>
      </w:tr>
      <w:bookmarkEnd w:id="8"/>
    </w:tbl>
    <w:p w14:paraId="5F41FD26" w14:textId="77777777" w:rsidR="00693502" w:rsidRPr="00693502" w:rsidRDefault="00693502" w:rsidP="00693502">
      <w:pPr>
        <w:rPr>
          <w:lang w:val="fr-BE"/>
        </w:rPr>
      </w:pPr>
    </w:p>
    <w:p w14:paraId="2C149315" w14:textId="77777777" w:rsidR="009A35ED" w:rsidRDefault="009A35ED"/>
    <w:p w14:paraId="6F4F3A86" w14:textId="77777777" w:rsidR="009A35ED" w:rsidRDefault="00000000">
      <w:pPr>
        <w:tabs>
          <w:tab w:val="left" w:pos="851"/>
        </w:tabs>
        <w:jc w:val="both"/>
        <w:rPr>
          <w:rFonts w:ascii="Times New Roman" w:hAnsi="Times New Roman"/>
          <w:b/>
        </w:rPr>
      </w:pPr>
      <w:bookmarkStart w:id="9" w:name="_Hlk211425207"/>
      <w:bookmarkEnd w:id="9"/>
      <w:r>
        <w:rPr>
          <w:rFonts w:ascii="Times New Roman" w:hAnsi="Times New Roman"/>
          <w:b/>
        </w:rPr>
        <w:t xml:space="preserve"> * All times are in the time zone of the country of the Project partner </w:t>
      </w:r>
    </w:p>
    <w:p w14:paraId="4D850AB5" w14:textId="77777777" w:rsidR="009A35ED" w:rsidRDefault="00000000">
      <w:pPr>
        <w:tabs>
          <w:tab w:val="left" w:pos="851"/>
        </w:tabs>
        <w:jc w:val="both"/>
        <w:rPr>
          <w:rFonts w:ascii="Times New Roman" w:hAnsi="Times New Roman"/>
          <w:b/>
        </w:rPr>
      </w:pPr>
      <w:r>
        <w:rPr>
          <w:rFonts w:ascii="Times New Roman" w:hAnsi="Times New Roman"/>
          <w:b/>
        </w:rPr>
        <w:t>**Provisional date</w:t>
      </w:r>
    </w:p>
    <w:p w14:paraId="03F8AE7B" w14:textId="77777777" w:rsidR="009A35ED" w:rsidRDefault="00000000">
      <w:pPr>
        <w:pStyle w:val="Naslov1"/>
        <w:numPr>
          <w:ilvl w:val="0"/>
          <w:numId w:val="2"/>
        </w:numPr>
      </w:pPr>
      <w:bookmarkStart w:id="10" w:name="_Toc42488072"/>
      <w:r>
        <w:t>Participation</w:t>
      </w:r>
      <w:bookmarkEnd w:id="10"/>
    </w:p>
    <w:p w14:paraId="764A474C" w14:textId="77777777" w:rsidR="009A35ED" w:rsidRDefault="00000000">
      <w:pPr>
        <w:pStyle w:val="Blockquote"/>
        <w:ind w:left="709" w:right="1" w:hanging="567"/>
        <w:jc w:val="both"/>
        <w:rPr>
          <w:rFonts w:ascii="Times New Roman" w:hAnsi="Times New Roman"/>
          <w:sz w:val="22"/>
          <w:szCs w:val="22"/>
          <w:lang w:val="en-GB"/>
        </w:rPr>
      </w:pPr>
      <w:r>
        <w:rPr>
          <w:sz w:val="22"/>
          <w:szCs w:val="22"/>
          <w:lang w:val="en-GB"/>
        </w:rPr>
        <w:t>3.1</w:t>
      </w:r>
      <w:r>
        <w:rPr>
          <w:sz w:val="22"/>
          <w:szCs w:val="22"/>
          <w:lang w:val="en-GB"/>
        </w:rPr>
        <w:tab/>
      </w:r>
      <w:r>
        <w:rPr>
          <w:rFonts w:ascii="Times New Roman" w:hAnsi="Times New Roman"/>
          <w:sz w:val="22"/>
          <w:szCs w:val="22"/>
          <w:lang w:val="en-GB"/>
        </w:rPr>
        <w:t xml:space="preserve">Participation is open to all legal persons which are effectively established in the participating </w:t>
      </w:r>
      <w:r>
        <w:rPr>
          <w:rFonts w:ascii="Times New Roman" w:hAnsi="Times New Roman"/>
          <w:sz w:val="22"/>
          <w:szCs w:val="22"/>
          <w:lang w:val="en-GB"/>
        </w:rPr>
        <w:lastRenderedPageBreak/>
        <w:t xml:space="preserve">countries, other Member States, other IPA III beneficiaries, contracting parties to the Agreement on the European Economic Area and partner countries covered by the European Neighbourhood Instrument (hereafter referred to as ‘eligible countries’), and to International Organisations. </w:t>
      </w:r>
    </w:p>
    <w:p w14:paraId="1A9E2BAB" w14:textId="77777777" w:rsidR="009A35ED" w:rsidRDefault="00000000">
      <w:pPr>
        <w:pStyle w:val="Naslov2"/>
        <w:keepNext w:val="0"/>
        <w:tabs>
          <w:tab w:val="left" w:pos="709"/>
        </w:tabs>
        <w:ind w:left="567" w:hanging="567"/>
        <w:jc w:val="both"/>
        <w:rPr>
          <w:rFonts w:ascii="Times New Roman" w:hAnsi="Times New Roman"/>
          <w:sz w:val="22"/>
          <w:lang w:val="en-GB"/>
        </w:rPr>
      </w:pPr>
      <w:r>
        <w:rPr>
          <w:sz w:val="22"/>
          <w:lang w:val="en-GB"/>
        </w:rPr>
        <w:t>3.2</w:t>
      </w:r>
      <w:r>
        <w:rPr>
          <w:sz w:val="22"/>
          <w:lang w:val="en-GB"/>
        </w:rPr>
        <w:tab/>
      </w:r>
      <w:r>
        <w:rPr>
          <w:rFonts w:ascii="Times New Roman" w:hAnsi="Times New Roman"/>
          <w:sz w:val="22"/>
          <w:lang w:val="en-GB"/>
        </w:rPr>
        <w:t>Natural or legal persons are not entitled to participate in this tender procedure or be awarded a contract if they are in any of the situations mentioned in Sections 2.4.1 (EU restrictive measures</w:t>
      </w:r>
      <w:r>
        <w:rPr>
          <w:rStyle w:val="FootnoteAnchor"/>
          <w:rFonts w:ascii="Times New Roman" w:hAnsi="Times New Roman"/>
          <w:sz w:val="22"/>
          <w:lang w:val="en-GB"/>
        </w:rPr>
        <w:footnoteReference w:id="2"/>
      </w:r>
      <w:r>
        <w:rPr>
          <w:rFonts w:ascii="Times New Roman" w:hAnsi="Times New Roman"/>
          <w:sz w:val="22"/>
          <w:lang w:val="en-GB"/>
        </w:rPr>
        <w:t xml:space="preserve">), 2.4.2.1 (exclusion criteria) or 2.4.2.2(rejection from a procedure) of the practical </w:t>
      </w:r>
      <w:proofErr w:type="gramStart"/>
      <w:r>
        <w:rPr>
          <w:rFonts w:ascii="Times New Roman" w:hAnsi="Times New Roman"/>
          <w:sz w:val="22"/>
          <w:lang w:val="en-GB"/>
        </w:rPr>
        <w:t>guide</w:t>
      </w:r>
      <w:proofErr w:type="gramEnd"/>
      <w:r>
        <w:rPr>
          <w:rFonts w:ascii="Times New Roman" w:hAnsi="Times New Roman"/>
          <w:sz w:val="22"/>
          <w:lang w:val="en-GB"/>
        </w:rPr>
        <w:t xml:space="preserve">. Should they do so, their tender will be considered unsuitable or irregular respectively. </w:t>
      </w:r>
      <w:r>
        <w:rPr>
          <w:rFonts w:ascii="Times New Roman" w:hAnsi="Times New Roman"/>
          <w:sz w:val="22"/>
          <w:szCs w:val="22"/>
          <w:lang w:val="en-GB"/>
        </w:rPr>
        <w:t>In the cases listed in Section 2.4.2.1 of the practical guide tenderers may also be excluded from EU financed procedures and/or be subject to financial penalties up to 10</w:t>
      </w:r>
      <w:r>
        <w:rPr>
          <w:rFonts w:ascii="Times New Roman" w:hAnsi="Times New Roman"/>
          <w:w w:val="50"/>
          <w:sz w:val="22"/>
          <w:szCs w:val="22"/>
          <w:lang w:val="en-GB"/>
        </w:rPr>
        <w:t> </w:t>
      </w:r>
      <w:r>
        <w:rPr>
          <w:rFonts w:ascii="Times New Roman" w:hAnsi="Times New Roman"/>
          <w:sz w:val="22"/>
          <w:szCs w:val="22"/>
          <w:lang w:val="en-GB"/>
        </w:rPr>
        <w:t>% of the total value of the contract in</w:t>
      </w:r>
      <w:r>
        <w:rPr>
          <w:rFonts w:ascii="Times New Roman" w:hAnsi="Times New Roman"/>
          <w:b/>
          <w:sz w:val="22"/>
          <w:szCs w:val="22"/>
          <w:lang w:val="en-GB"/>
        </w:rPr>
        <w:t xml:space="preserve"> </w:t>
      </w:r>
      <w:r>
        <w:rPr>
          <w:rFonts w:ascii="Times New Roman" w:hAnsi="Times New Roman"/>
          <w:sz w:val="22"/>
          <w:szCs w:val="22"/>
          <w:lang w:val="en-GB"/>
        </w:rPr>
        <w:t>accordance with the Financial Regulation in force. This information may be published on the Commission website in accordance with the Financial Regulation in force.</w:t>
      </w:r>
      <w:r>
        <w:rPr>
          <w:sz w:val="22"/>
          <w:szCs w:val="22"/>
          <w:lang w:val="en-GB"/>
        </w:rPr>
        <w:t xml:space="preserve"> </w:t>
      </w:r>
      <w:r>
        <w:rPr>
          <w:rFonts w:ascii="Times New Roman" w:hAnsi="Times New Roman"/>
          <w:sz w:val="22"/>
          <w:lang w:val="en-GB"/>
        </w:rPr>
        <w:t>Tenderers must provide declarations on honour</w:t>
      </w:r>
      <w:r>
        <w:rPr>
          <w:rStyle w:val="FootnoteAnchor"/>
          <w:rFonts w:ascii="Times New Roman" w:hAnsi="Times New Roman"/>
          <w:sz w:val="22"/>
          <w:lang w:val="en-GB"/>
        </w:rPr>
        <w:footnoteReference w:id="3"/>
      </w:r>
      <w:r>
        <w:rPr>
          <w:rFonts w:ascii="Times New Roman" w:hAnsi="Times New Roman"/>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0FDF8BE" w14:textId="77777777" w:rsidR="009A35ED" w:rsidRDefault="009A35ED">
      <w:pPr>
        <w:pStyle w:val="PRAGHeading2"/>
        <w:ind w:left="567" w:hanging="567"/>
        <w:jc w:val="both"/>
        <w:rPr>
          <w:lang w:val="en-GB"/>
        </w:rPr>
      </w:pPr>
    </w:p>
    <w:p w14:paraId="6A3C5EA6"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3.3</w:t>
      </w:r>
      <w:r>
        <w:rPr>
          <w:rFonts w:ascii="Times New Roman" w:hAnsi="Times New Roman"/>
          <w:sz w:val="22"/>
          <w:lang w:val="en-GB"/>
        </w:rPr>
        <w:tab/>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 Authority-Project partner may accept other satisfactory evidence that these conditions are met.</w:t>
      </w:r>
    </w:p>
    <w:p w14:paraId="2907E70A"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3.4</w:t>
      </w:r>
      <w:r>
        <w:rPr>
          <w:rFonts w:ascii="Times New Roman" w:hAnsi="Times New Roman"/>
          <w:sz w:val="22"/>
          <w:lang w:val="en-GB"/>
        </w:rPr>
        <w:tab/>
      </w:r>
      <w:r>
        <w:rPr>
          <w:rFonts w:ascii="Times New Roman" w:hAnsi="Times New Roman"/>
          <w:sz w:val="22"/>
          <w:szCs w:val="22"/>
          <w:lang w:val="en-GB"/>
        </w:rPr>
        <w:t>In the cases listed in Declaration on honour on exclusion criteria and selection criteria tenderers may be excluded from the procedure.</w:t>
      </w:r>
    </w:p>
    <w:p w14:paraId="2F373137" w14:textId="77777777" w:rsidR="009A35ED" w:rsidRDefault="00000000">
      <w:pPr>
        <w:pStyle w:val="Naslov2"/>
        <w:keepNext w:val="0"/>
        <w:tabs>
          <w:tab w:val="left" w:pos="709"/>
        </w:tabs>
        <w:ind w:left="567"/>
        <w:jc w:val="both"/>
        <w:rPr>
          <w:rFonts w:ascii="Times New Roman" w:hAnsi="Times New Roman"/>
          <w:sz w:val="22"/>
          <w:szCs w:val="22"/>
          <w:lang w:val="en-GB"/>
        </w:rPr>
      </w:pPr>
      <w:r>
        <w:rPr>
          <w:rFonts w:ascii="Times New Roman" w:hAnsi="Times New Roman"/>
          <w:sz w:val="22"/>
          <w:lang w:val="en-GB"/>
        </w:rPr>
        <w:t>The exclusion situations referred to above also apply to all members of a joint venture/consortium, all subcontractors and all suppliers to tenderers, as well as to all entities upon whose capacity the tenderer relies for the selection criteria. When requested</w:t>
      </w:r>
      <w:r>
        <w:rPr>
          <w:rFonts w:ascii="Times New Roman" w:hAnsi="Times New Roman"/>
          <w:sz w:val="22"/>
          <w:szCs w:val="22"/>
          <w:lang w:val="en-GB"/>
        </w:rPr>
        <w:t xml:space="preserve"> by the Project partner, tenderers/contractors must submit declarations from the intended subcontractors that they are not in any of the exclusion situations. In cases of doubt over declarations, the Project partner will request documentary evidence that subcontractors are not in a situation that excludes them.</w:t>
      </w:r>
    </w:p>
    <w:p w14:paraId="7367E8DD" w14:textId="77777777" w:rsidR="009A35ED" w:rsidRDefault="00000000">
      <w:pPr>
        <w:pStyle w:val="Naslov2"/>
        <w:keepNext w:val="0"/>
        <w:tabs>
          <w:tab w:val="left" w:pos="709"/>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3.5</w:t>
      </w:r>
      <w:r>
        <w:rPr>
          <w:rFonts w:ascii="Times New Roman" w:hAnsi="Times New Roman"/>
          <w:sz w:val="22"/>
          <w:szCs w:val="22"/>
          <w:lang w:val="en-GB"/>
        </w:rPr>
        <w:tab/>
        <w:t>To be eligible to take part in this tender procedure, tenderers must prove to the satisfaction of the Project partner that they comply with the necessary legal, technical and financial requirements and have the means to carry out the contract effectively.</w:t>
      </w:r>
    </w:p>
    <w:p w14:paraId="745D56F9" w14:textId="77777777" w:rsidR="009A35ED" w:rsidRDefault="00000000">
      <w:pPr>
        <w:pStyle w:val="Naslov2"/>
        <w:keepNext w:val="0"/>
        <w:tabs>
          <w:tab w:val="left"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3.6</w:t>
      </w:r>
      <w:r>
        <w:rPr>
          <w:rFonts w:ascii="Times New Roman" w:hAnsi="Times New Roman"/>
          <w:sz w:val="22"/>
          <w:szCs w:val="22"/>
          <w:lang w:val="en-GB"/>
        </w:rPr>
        <w:tab/>
        <w:t>Where tenders include subcontracting, it is recommended that the contractual arrangements between tenderers and their subcontractors include mediation, according to national and international practices, as a method of dispute resolution.</w:t>
      </w:r>
    </w:p>
    <w:p w14:paraId="3BDE95DA" w14:textId="77777777" w:rsidR="009A35ED" w:rsidRDefault="00000000">
      <w:pPr>
        <w:pStyle w:val="Naslov1"/>
        <w:numPr>
          <w:ilvl w:val="0"/>
          <w:numId w:val="2"/>
        </w:numPr>
      </w:pPr>
      <w:bookmarkStart w:id="11" w:name="_Toc42488073"/>
      <w:r>
        <w:lastRenderedPageBreak/>
        <w:t>Origin</w:t>
      </w:r>
      <w:bookmarkEnd w:id="11"/>
    </w:p>
    <w:p w14:paraId="6527AEB9" w14:textId="77777777" w:rsidR="009A35ED" w:rsidRDefault="00000000">
      <w:pPr>
        <w:pStyle w:val="Naslov2"/>
        <w:keepNext w:val="0"/>
        <w:numPr>
          <w:ilvl w:val="1"/>
          <w:numId w:val="2"/>
        </w:numPr>
        <w:jc w:val="both"/>
        <w:rPr>
          <w:rFonts w:ascii="Times New Roman" w:hAnsi="Times New Roman"/>
          <w:sz w:val="22"/>
          <w:szCs w:val="22"/>
          <w:lang w:val="en-GB"/>
        </w:rPr>
      </w:pPr>
      <w:r>
        <w:rPr>
          <w:rFonts w:ascii="Times New Roman" w:hAnsi="Times New Roman"/>
          <w:sz w:val="22"/>
          <w:szCs w:val="22"/>
          <w:lang w:val="en-GB"/>
        </w:rPr>
        <w:t xml:space="preserve">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w:t>
      </w:r>
      <w:r>
        <w:rPr>
          <w:rFonts w:ascii="Times New Roman" w:hAnsi="Times New Roman"/>
          <w:sz w:val="22"/>
          <w:szCs w:val="22"/>
        </w:rPr>
        <w:t xml:space="preserve">As the Bosnia and Herzegovina national rules do not contain any restrictions as regards the rules of origin, all goods can originate from any country, irrespective of any thresholds. </w:t>
      </w:r>
      <w:r>
        <w:rPr>
          <w:rFonts w:ascii="Times New Roman" w:hAnsi="Times New Roman"/>
          <w:sz w:val="22"/>
          <w:szCs w:val="22"/>
          <w:lang w:val="en-GB"/>
        </w:rPr>
        <w:t xml:space="preserve">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w:t>
      </w:r>
      <w:proofErr w:type="gramStart"/>
      <w:r>
        <w:rPr>
          <w:rFonts w:ascii="Times New Roman" w:hAnsi="Times New Roman"/>
          <w:sz w:val="22"/>
          <w:szCs w:val="22"/>
          <w:lang w:val="en-GB"/>
        </w:rPr>
        <w:t>Articles</w:t>
      </w:r>
      <w:proofErr w:type="gramEnd"/>
      <w:r>
        <w:rPr>
          <w:rFonts w:ascii="Times New Roman" w:hAnsi="Times New Roman"/>
          <w:sz w:val="22"/>
          <w:szCs w:val="22"/>
          <w:lang w:val="en-GB"/>
        </w:rPr>
        <w:t xml:space="preserve"> 22 to 246 thereof, and the Code's implementing provisions (Commission Regulation (EEC) No 2454/93.</w:t>
      </w:r>
    </w:p>
    <w:p w14:paraId="3E66E9F1" w14:textId="77777777" w:rsidR="009A35ED" w:rsidRDefault="00000000">
      <w:pPr>
        <w:pStyle w:val="Naslov1"/>
        <w:numPr>
          <w:ilvl w:val="0"/>
          <w:numId w:val="2"/>
        </w:numPr>
      </w:pPr>
      <w:bookmarkStart w:id="12" w:name="_Toc42488074"/>
      <w:r>
        <w:t>Type of contract</w:t>
      </w:r>
      <w:bookmarkEnd w:id="12"/>
    </w:p>
    <w:p w14:paraId="0D298A43" w14:textId="49C714E2" w:rsidR="009A35ED" w:rsidRDefault="00D72AD3">
      <w:pPr>
        <w:pStyle w:val="Naslov2"/>
        <w:keepNext w:val="0"/>
        <w:jc w:val="both"/>
        <w:rPr>
          <w:rFonts w:ascii="Times New Roman" w:hAnsi="Times New Roman"/>
          <w:sz w:val="22"/>
          <w:lang w:val="en-GB"/>
        </w:rPr>
      </w:pPr>
      <w:r>
        <w:rPr>
          <w:rFonts w:ascii="Times New Roman" w:hAnsi="Times New Roman"/>
          <w:sz w:val="22"/>
          <w:lang w:val="en-GB"/>
        </w:rPr>
        <w:t>Unit-price</w:t>
      </w:r>
    </w:p>
    <w:p w14:paraId="0DA9D94D" w14:textId="77777777" w:rsidR="009A35ED" w:rsidRDefault="00000000">
      <w:pPr>
        <w:pStyle w:val="Naslov1"/>
        <w:numPr>
          <w:ilvl w:val="0"/>
          <w:numId w:val="2"/>
        </w:numPr>
      </w:pPr>
      <w:bookmarkStart w:id="13" w:name="_Toc42488075"/>
      <w:r>
        <w:t>Currency</w:t>
      </w:r>
      <w:bookmarkEnd w:id="13"/>
    </w:p>
    <w:p w14:paraId="480211D9" w14:textId="71FB025F" w:rsidR="009A35ED" w:rsidRDefault="00000000">
      <w:pPr>
        <w:pStyle w:val="Naslov2"/>
        <w:keepNext w:val="0"/>
        <w:jc w:val="both"/>
        <w:rPr>
          <w:rFonts w:ascii="Times New Roman" w:hAnsi="Times New Roman"/>
          <w:bCs/>
          <w:color w:val="FF0000"/>
          <w:sz w:val="22"/>
          <w:szCs w:val="22"/>
          <w:lang w:val="en-GB"/>
        </w:rPr>
      </w:pPr>
      <w:r>
        <w:rPr>
          <w:rFonts w:ascii="Times New Roman" w:hAnsi="Times New Roman"/>
          <w:sz w:val="22"/>
          <w:szCs w:val="22"/>
          <w:lang w:val="en-GB"/>
        </w:rPr>
        <w:t xml:space="preserve">Tenders must be presented in </w:t>
      </w:r>
      <w:r w:rsidR="00221ABF">
        <w:rPr>
          <w:rFonts w:ascii="Times New Roman" w:hAnsi="Times New Roman"/>
          <w:bCs/>
          <w:sz w:val="22"/>
          <w:szCs w:val="22"/>
          <w:lang w:val="en-GB"/>
        </w:rPr>
        <w:t>BAM</w:t>
      </w:r>
      <w:r>
        <w:rPr>
          <w:rStyle w:val="FootnoteAnchor"/>
          <w:rFonts w:ascii="Times New Roman" w:hAnsi="Times New Roman"/>
          <w:bCs/>
          <w:sz w:val="22"/>
          <w:szCs w:val="22"/>
          <w:lang w:val="en-GB"/>
        </w:rPr>
        <w:footnoteReference w:id="4"/>
      </w:r>
      <w:r>
        <w:rPr>
          <w:rFonts w:ascii="Times New Roman" w:hAnsi="Times New Roman"/>
          <w:bCs/>
          <w:sz w:val="22"/>
          <w:szCs w:val="22"/>
          <w:lang w:val="en-GB"/>
        </w:rPr>
        <w:t xml:space="preserve">. </w:t>
      </w:r>
    </w:p>
    <w:p w14:paraId="1273987D" w14:textId="77777777" w:rsidR="009A35ED" w:rsidRDefault="00000000">
      <w:pPr>
        <w:pStyle w:val="Naslov1"/>
        <w:numPr>
          <w:ilvl w:val="0"/>
          <w:numId w:val="2"/>
        </w:numPr>
      </w:pPr>
      <w:bookmarkStart w:id="14" w:name="_Toc42488076"/>
      <w:r>
        <w:t>Lots</w:t>
      </w:r>
      <w:bookmarkEnd w:id="14"/>
    </w:p>
    <w:p w14:paraId="77ADA10A" w14:textId="77777777" w:rsidR="009A35ED" w:rsidRDefault="00000000">
      <w:pPr>
        <w:ind w:left="567"/>
        <w:jc w:val="both"/>
        <w:rPr>
          <w:rFonts w:ascii="Times New Roman" w:hAnsi="Times New Roman"/>
          <w:sz w:val="22"/>
        </w:rPr>
      </w:pPr>
      <w:r>
        <w:rPr>
          <w:rFonts w:ascii="Times New Roman" w:hAnsi="Times New Roman"/>
          <w:sz w:val="22"/>
        </w:rPr>
        <w:t>This tender procedure is not divided into lots.</w:t>
      </w:r>
    </w:p>
    <w:p w14:paraId="5B07EE39" w14:textId="77777777" w:rsidR="009A35ED" w:rsidRDefault="00000000">
      <w:pPr>
        <w:pStyle w:val="Naslov1"/>
        <w:numPr>
          <w:ilvl w:val="0"/>
          <w:numId w:val="2"/>
        </w:numPr>
      </w:pPr>
      <w:bookmarkStart w:id="15" w:name="_Toc42488077"/>
      <w:r>
        <w:t>Period of validity</w:t>
      </w:r>
      <w:bookmarkEnd w:id="15"/>
    </w:p>
    <w:p w14:paraId="5A4AE8A2"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8.1</w:t>
      </w:r>
      <w:r>
        <w:rPr>
          <w:rFonts w:ascii="Times New Roman" w:hAnsi="Times New Roman"/>
          <w:sz w:val="22"/>
          <w:lang w:val="en-GB"/>
        </w:rPr>
        <w:tab/>
        <w:t>Tenderers will be bound by their tenders for a period of 90 days from the deadline for the submission of tenders.</w:t>
      </w:r>
    </w:p>
    <w:p w14:paraId="06CB6639"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t xml:space="preserve">In exceptional cases and prior to the expiry of the original tender validity period, the Project partner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w:t>
      </w:r>
    </w:p>
    <w:p w14:paraId="441D443E" w14:textId="77777777" w:rsidR="009A35ED" w:rsidRDefault="00000000">
      <w:pPr>
        <w:tabs>
          <w:tab w:val="left" w:pos="567"/>
        </w:tabs>
        <w:ind w:left="567" w:hanging="567"/>
        <w:jc w:val="both"/>
        <w:rPr>
          <w:rFonts w:ascii="Times New Roman" w:hAnsi="Times New Roman"/>
        </w:rPr>
      </w:pPr>
      <w:r>
        <w:rPr>
          <w:rFonts w:ascii="Times New Roman" w:hAnsi="Times New Roman"/>
          <w:sz w:val="22"/>
          <w:szCs w:val="22"/>
        </w:rPr>
        <w:t>8.3</w:t>
      </w:r>
      <w:r>
        <w:rPr>
          <w:rFonts w:ascii="Times New Roman" w:hAnsi="Times New Roman"/>
          <w:sz w:val="22"/>
          <w:szCs w:val="22"/>
        </w:rPr>
        <w:tab/>
        <w:t>The successful tenderer will be bound by its tender for a further period of 60 days. The further period is added to</w:t>
      </w:r>
      <w:r>
        <w:rPr>
          <w:rFonts w:ascii="Times New Roman" w:hAnsi="Times New Roman"/>
          <w:sz w:val="22"/>
        </w:rPr>
        <w:t xml:space="preserve"> the validity period of</w:t>
      </w:r>
      <w:r>
        <w:rPr>
          <w:rFonts w:ascii="Times New Roman" w:hAnsi="Times New Roman"/>
          <w:sz w:val="22"/>
          <w:szCs w:val="22"/>
        </w:rPr>
        <w:t xml:space="preserve"> the tender</w:t>
      </w:r>
      <w:r>
        <w:rPr>
          <w:rFonts w:ascii="Times New Roman" w:hAnsi="Times New Roman"/>
          <w:sz w:val="22"/>
        </w:rPr>
        <w:t xml:space="preserve"> irrespective of the date of notification.</w:t>
      </w:r>
    </w:p>
    <w:p w14:paraId="31CFC675" w14:textId="77777777" w:rsidR="009A35ED" w:rsidRDefault="00000000">
      <w:pPr>
        <w:pStyle w:val="Naslov1"/>
        <w:numPr>
          <w:ilvl w:val="0"/>
          <w:numId w:val="2"/>
        </w:numPr>
      </w:pPr>
      <w:bookmarkStart w:id="16" w:name="_Toc42488078"/>
      <w:r>
        <w:t xml:space="preserve">Language of </w:t>
      </w:r>
      <w:bookmarkEnd w:id="16"/>
      <w:r>
        <w:t>tenders</w:t>
      </w:r>
      <w:bookmarkStart w:id="17" w:name="_Ref500330462"/>
      <w:bookmarkEnd w:id="17"/>
    </w:p>
    <w:p w14:paraId="0AFD385F" w14:textId="77777777" w:rsidR="009A35ED" w:rsidRDefault="00000000">
      <w:pPr>
        <w:pStyle w:val="Naslov2"/>
        <w:keepNext w:val="0"/>
        <w:numPr>
          <w:ilvl w:val="1"/>
          <w:numId w:val="2"/>
        </w:numPr>
        <w:jc w:val="both"/>
        <w:rPr>
          <w:rFonts w:ascii="Times New Roman" w:hAnsi="Times New Roman"/>
          <w:sz w:val="22"/>
          <w:lang w:val="en-GB"/>
        </w:rPr>
      </w:pPr>
      <w:r>
        <w:rPr>
          <w:rFonts w:ascii="Times New Roman" w:hAnsi="Times New Roman"/>
          <w:sz w:val="22"/>
          <w:lang w:val="en-GB"/>
        </w:rPr>
        <w:t>The tenders, all correspondence and documents related to the tender exchanged by the tenderer and the Project partner must be written in the language of the procedure, which is English language and Latin letter only.</w:t>
      </w:r>
    </w:p>
    <w:p w14:paraId="2F683B07" w14:textId="77777777" w:rsidR="009A35ED" w:rsidRDefault="00000000">
      <w:pPr>
        <w:pStyle w:val="Odlomakpopisa"/>
        <w:numPr>
          <w:ilvl w:val="1"/>
          <w:numId w:val="2"/>
        </w:numPr>
        <w:jc w:val="both"/>
      </w:pPr>
      <w:r>
        <w:rPr>
          <w:rFonts w:ascii="Times New Roman" w:hAnsi="Times New Roman"/>
        </w:rPr>
        <w:lastRenderedPageBreak/>
        <w:t>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14:paraId="4CAD3CF4" w14:textId="77777777" w:rsidR="009A35ED" w:rsidRDefault="00000000">
      <w:pPr>
        <w:pStyle w:val="Naslov1"/>
        <w:numPr>
          <w:ilvl w:val="0"/>
          <w:numId w:val="2"/>
        </w:numPr>
      </w:pPr>
      <w:bookmarkStart w:id="18" w:name="_Toc42488079"/>
      <w:r>
        <w:t>Submission of tenders</w:t>
      </w:r>
      <w:bookmarkEnd w:id="18"/>
    </w:p>
    <w:p w14:paraId="2D084C6F"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10.1</w:t>
      </w:r>
      <w:r>
        <w:rPr>
          <w:rFonts w:ascii="Times New Roman" w:hAnsi="Times New Roman"/>
          <w:sz w:val="22"/>
          <w:lang w:val="en-GB"/>
        </w:rPr>
        <w:tab/>
        <w:t>The Contracting authority must receive the tenders before the deadline specified in 10.3. They must include all the documents specified in point 11 of these Instructions and be sent to the following address:</w:t>
      </w:r>
      <w:bookmarkStart w:id="19" w:name="_Ref500326737"/>
      <w:bookmarkEnd w:id="19"/>
    </w:p>
    <w:p w14:paraId="32691877" w14:textId="2C01614E" w:rsidR="009A35ED" w:rsidRDefault="00000000">
      <w:pPr>
        <w:ind w:left="567"/>
        <w:jc w:val="both"/>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w:t>
      </w:r>
      <w:proofErr w:type="gramStart"/>
      <w:r>
        <w:rPr>
          <w:rFonts w:ascii="Times New Roman" w:hAnsi="Times New Roman"/>
          <w:sz w:val="22"/>
        </w:rPr>
        <w:t>Kralja  Tvrtka</w:t>
      </w:r>
      <w:proofErr w:type="gramEnd"/>
      <w:r>
        <w:rPr>
          <w:rFonts w:ascii="Times New Roman" w:hAnsi="Times New Roman"/>
          <w:sz w:val="22"/>
        </w:rPr>
        <w:t xml:space="preserve"> bb, 88000 Mostar</w:t>
      </w:r>
    </w:p>
    <w:p w14:paraId="04DC546B" w14:textId="77777777" w:rsidR="009A35ED" w:rsidRDefault="00000000">
      <w:pPr>
        <w:ind w:left="567"/>
        <w:jc w:val="both"/>
        <w:rPr>
          <w:rFonts w:ascii="Times New Roman" w:hAnsi="Times New Roman"/>
          <w:sz w:val="22"/>
        </w:rPr>
      </w:pPr>
      <w:r>
        <w:rPr>
          <w:rFonts w:ascii="Times New Roman" w:hAnsi="Times New Roman"/>
          <w:sz w:val="22"/>
        </w:rPr>
        <w:t xml:space="preserve"> If the tenders are hand </w:t>
      </w:r>
      <w:proofErr w:type="gramStart"/>
      <w:r>
        <w:rPr>
          <w:rFonts w:ascii="Times New Roman" w:hAnsi="Times New Roman"/>
          <w:sz w:val="22"/>
        </w:rPr>
        <w:t>delivered</w:t>
      </w:r>
      <w:proofErr w:type="gramEnd"/>
      <w:r>
        <w:rPr>
          <w:rFonts w:ascii="Times New Roman" w:hAnsi="Times New Roman"/>
          <w:sz w:val="22"/>
        </w:rPr>
        <w:t xml:space="preserve"> they should be delivered to the following address:</w:t>
      </w:r>
    </w:p>
    <w:p w14:paraId="139F2F6B" w14:textId="4BFEBA36" w:rsidR="009A35ED" w:rsidRDefault="00000000">
      <w:pPr>
        <w:ind w:left="567"/>
        <w:jc w:val="both"/>
        <w:outlineLvl w:val="0"/>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w:t>
      </w:r>
      <w:proofErr w:type="gramStart"/>
      <w:r>
        <w:rPr>
          <w:rFonts w:ascii="Times New Roman" w:hAnsi="Times New Roman"/>
          <w:sz w:val="22"/>
        </w:rPr>
        <w:t>Kralja  Tvrtka</w:t>
      </w:r>
      <w:proofErr w:type="gramEnd"/>
      <w:r>
        <w:rPr>
          <w:rFonts w:ascii="Times New Roman" w:hAnsi="Times New Roman"/>
          <w:sz w:val="22"/>
        </w:rPr>
        <w:t xml:space="preserve"> bb, 88000 Mostar </w:t>
      </w:r>
    </w:p>
    <w:p w14:paraId="5CEAC53B" w14:textId="77777777" w:rsidR="009A35ED" w:rsidRDefault="00000000">
      <w:pPr>
        <w:ind w:left="567"/>
        <w:jc w:val="both"/>
        <w:outlineLvl w:val="0"/>
        <w:rPr>
          <w:rFonts w:ascii="Times New Roman" w:hAnsi="Times New Roman"/>
          <w:sz w:val="22"/>
        </w:rPr>
      </w:pPr>
      <w:r>
        <w:rPr>
          <w:rFonts w:ascii="Times New Roman" w:hAnsi="Times New Roman"/>
          <w:sz w:val="22"/>
        </w:rPr>
        <w:t>Tenders must comply with the following conditions:</w:t>
      </w:r>
    </w:p>
    <w:p w14:paraId="359D4C77" w14:textId="77777777" w:rsidR="009A35ED" w:rsidRDefault="00000000">
      <w:pPr>
        <w:pStyle w:val="Naslov2"/>
        <w:ind w:left="567" w:hanging="567"/>
        <w:jc w:val="both"/>
      </w:pPr>
      <w:r>
        <w:rPr>
          <w:rFonts w:ascii="Times New Roman" w:hAnsi="Times New Roman"/>
          <w:sz w:val="22"/>
          <w:lang w:val="en-GB"/>
        </w:rPr>
        <w:t>10.2</w:t>
      </w:r>
      <w:r>
        <w:rPr>
          <w:rFonts w:ascii="Times New Roman" w:hAnsi="Times New Roman"/>
          <w:sz w:val="22"/>
          <w:lang w:val="en-GB"/>
        </w:rPr>
        <w:tab/>
        <w:t xml:space="preserve">All tenders must be submitted in one original, marked ‘original’, and one (1) copy signed in the same way as the original and marked ‘copy’. Tenders should also </w:t>
      </w:r>
      <w:proofErr w:type="gramStart"/>
      <w:r>
        <w:rPr>
          <w:rFonts w:ascii="Times New Roman" w:hAnsi="Times New Roman"/>
          <w:sz w:val="22"/>
          <w:lang w:val="en-GB"/>
        </w:rPr>
        <w:t xml:space="preserve">provide  </w:t>
      </w:r>
      <w:r w:rsidRPr="00C3418B">
        <w:rPr>
          <w:rFonts w:ascii="Times New Roman" w:hAnsi="Times New Roman"/>
          <w:b/>
          <w:bCs/>
          <w:sz w:val="22"/>
          <w:lang w:val="en-GB"/>
        </w:rPr>
        <w:t>electronic</w:t>
      </w:r>
      <w:proofErr w:type="gramEnd"/>
      <w:r w:rsidRPr="00C3418B">
        <w:rPr>
          <w:rFonts w:ascii="Times New Roman" w:hAnsi="Times New Roman"/>
          <w:b/>
          <w:bCs/>
          <w:sz w:val="22"/>
          <w:lang w:val="en-GB"/>
        </w:rPr>
        <w:t xml:space="preserve"> copy on USB</w:t>
      </w:r>
      <w:r>
        <w:rPr>
          <w:rFonts w:ascii="Times New Roman" w:hAnsi="Times New Roman"/>
          <w:sz w:val="22"/>
          <w:lang w:val="en-GB"/>
        </w:rPr>
        <w:t>.</w:t>
      </w:r>
      <w:bookmarkStart w:id="20" w:name="_Ref500330141"/>
      <w:bookmarkEnd w:id="20"/>
    </w:p>
    <w:p w14:paraId="6E8B3783" w14:textId="276337A5"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10.3</w:t>
      </w:r>
      <w:r>
        <w:rPr>
          <w:rFonts w:ascii="Times New Roman" w:hAnsi="Times New Roman"/>
          <w:sz w:val="22"/>
          <w:lang w:val="en-GB"/>
        </w:rPr>
        <w:tab/>
        <w:t xml:space="preserve">All tenders must be received at University Clinical Hospital Mostar, Kralja Tvrtka bb, 88000 Mostar, before the deadline </w:t>
      </w:r>
      <w:r w:rsidR="004C7DA2">
        <w:rPr>
          <w:rFonts w:ascii="Times New Roman" w:hAnsi="Times New Roman"/>
          <w:b/>
          <w:bCs/>
          <w:sz w:val="22"/>
          <w:lang w:val="en-GB"/>
        </w:rPr>
        <w:t>09.09</w:t>
      </w:r>
      <w:r w:rsidRPr="003B476F">
        <w:rPr>
          <w:rFonts w:ascii="Times New Roman" w:hAnsi="Times New Roman"/>
          <w:b/>
          <w:bCs/>
          <w:sz w:val="22"/>
          <w:lang w:val="en-GB"/>
        </w:rPr>
        <w:t>.2026. at 10:00 Local Time</w:t>
      </w:r>
      <w:r>
        <w:rPr>
          <w:rFonts w:ascii="Times New Roman" w:hAnsi="Times New Roman"/>
          <w:sz w:val="22"/>
          <w:lang w:val="en-GB"/>
        </w:rPr>
        <w:t>, by registered letter with acknowledgement of receipt or hand-delivered against receipt signed by the Contracting Authority.</w:t>
      </w:r>
    </w:p>
    <w:p w14:paraId="6DDD84F6" w14:textId="77777777" w:rsidR="009A35ED" w:rsidRDefault="00000000">
      <w:pPr>
        <w:pStyle w:val="Naslov2"/>
        <w:ind w:left="567" w:hanging="567"/>
        <w:rPr>
          <w:rFonts w:ascii="Times New Roman" w:hAnsi="Times New Roman"/>
          <w:sz w:val="22"/>
          <w:lang w:val="en-GB"/>
        </w:rPr>
      </w:pPr>
      <w:r>
        <w:rPr>
          <w:rFonts w:ascii="Times New Roman" w:hAnsi="Times New Roman"/>
          <w:sz w:val="22"/>
          <w:lang w:val="en-GB"/>
        </w:rPr>
        <w:t>10.4</w:t>
      </w:r>
      <w:r>
        <w:rPr>
          <w:rFonts w:ascii="Times New Roman" w:hAnsi="Times New Roman"/>
          <w:sz w:val="22"/>
          <w:lang w:val="en-GB"/>
        </w:rPr>
        <w:tab/>
        <w:t>All tenders, including annexes and all supporting documents, must be submitted in a sealed envelope bearing only:</w:t>
      </w:r>
    </w:p>
    <w:p w14:paraId="6642D29E" w14:textId="77777777" w:rsidR="009A35ED" w:rsidRDefault="00000000">
      <w:pPr>
        <w:tabs>
          <w:tab w:val="left" w:pos="709"/>
          <w:tab w:val="left" w:pos="1134"/>
        </w:tabs>
        <w:ind w:left="567"/>
        <w:rPr>
          <w:rFonts w:ascii="Times New Roman" w:hAnsi="Times New Roman"/>
          <w:sz w:val="22"/>
        </w:rPr>
      </w:pPr>
      <w:r>
        <w:rPr>
          <w:rFonts w:ascii="Times New Roman" w:hAnsi="Times New Roman"/>
          <w:sz w:val="22"/>
        </w:rPr>
        <w:t>a)</w:t>
      </w:r>
      <w:r>
        <w:rPr>
          <w:rFonts w:ascii="Times New Roman" w:hAnsi="Times New Roman"/>
          <w:sz w:val="22"/>
        </w:rPr>
        <w:tab/>
        <w:t xml:space="preserve">the above </w:t>
      </w:r>
      <w:proofErr w:type="gramStart"/>
      <w:r>
        <w:rPr>
          <w:rFonts w:ascii="Times New Roman" w:hAnsi="Times New Roman"/>
          <w:sz w:val="22"/>
        </w:rPr>
        <w:t>address;</w:t>
      </w:r>
      <w:proofErr w:type="gramEnd"/>
    </w:p>
    <w:p w14:paraId="2C96DDFA" w14:textId="65FE90B6" w:rsidR="009A35ED" w:rsidRDefault="00000000">
      <w:pPr>
        <w:tabs>
          <w:tab w:val="left" w:pos="1134"/>
        </w:tabs>
        <w:ind w:left="567"/>
        <w:rPr>
          <w:rFonts w:ascii="Times New Roman" w:hAnsi="Times New Roman"/>
          <w:sz w:val="22"/>
        </w:rPr>
      </w:pPr>
      <w:r>
        <w:rPr>
          <w:rFonts w:ascii="Times New Roman" w:hAnsi="Times New Roman"/>
          <w:sz w:val="22"/>
        </w:rPr>
        <w:t>b)</w:t>
      </w:r>
      <w:r>
        <w:rPr>
          <w:rFonts w:ascii="Times New Roman" w:hAnsi="Times New Roman"/>
          <w:sz w:val="22"/>
        </w:rPr>
        <w:tab/>
        <w:t>the reference code of this tender procedure, (i.e.</w:t>
      </w:r>
      <w:r w:rsidR="000D0DE0">
        <w:rPr>
          <w:rFonts w:ascii="Times New Roman" w:hAnsi="Times New Roman"/>
          <w:sz w:val="22"/>
        </w:rPr>
        <w:t xml:space="preserve"> </w:t>
      </w:r>
      <w:r w:rsidRPr="00AD2A25">
        <w:rPr>
          <w:rFonts w:ascii="Times New Roman" w:hAnsi="Times New Roman"/>
          <w:sz w:val="22"/>
        </w:rPr>
        <w:t>publication reference</w:t>
      </w:r>
      <w:r w:rsidR="000D0DE0" w:rsidRPr="00D86781">
        <w:rPr>
          <w:rFonts w:ascii="Times New Roman" w:hAnsi="Times New Roman"/>
          <w:sz w:val="22"/>
        </w:rPr>
        <w:t xml:space="preserve">: </w:t>
      </w:r>
      <w:r w:rsidR="000D0DE0" w:rsidRPr="00D86781">
        <w:rPr>
          <w:rFonts w:ascii="Times New Roman" w:hAnsi="Times New Roman"/>
          <w:b/>
          <w:bCs/>
          <w:sz w:val="22"/>
        </w:rPr>
        <w:t>01-11-</w:t>
      </w:r>
      <w:r w:rsidR="004C7DA2">
        <w:rPr>
          <w:rFonts w:ascii="Times New Roman" w:hAnsi="Times New Roman"/>
          <w:b/>
          <w:bCs/>
          <w:sz w:val="22"/>
        </w:rPr>
        <w:t>6882/26</w:t>
      </w:r>
    </w:p>
    <w:p w14:paraId="32CE8CD9" w14:textId="77777777" w:rsidR="009A35ED" w:rsidRDefault="00000000">
      <w:pPr>
        <w:tabs>
          <w:tab w:val="left" w:pos="1134"/>
        </w:tabs>
        <w:ind w:left="567"/>
        <w:rPr>
          <w:rFonts w:ascii="Times New Roman" w:hAnsi="Times New Roman"/>
          <w:sz w:val="22"/>
        </w:rPr>
      </w:pPr>
      <w:r>
        <w:rPr>
          <w:rFonts w:ascii="Times New Roman" w:hAnsi="Times New Roman"/>
          <w:sz w:val="22"/>
        </w:rPr>
        <w:t>c)</w:t>
      </w:r>
      <w:r>
        <w:rPr>
          <w:rFonts w:ascii="Times New Roman" w:hAnsi="Times New Roman"/>
          <w:sz w:val="22"/>
        </w:rPr>
        <w:tab/>
        <w:t xml:space="preserve">where applicable, the number of the lot(s) tendered </w:t>
      </w:r>
      <w:proofErr w:type="gramStart"/>
      <w:r>
        <w:rPr>
          <w:rFonts w:ascii="Times New Roman" w:hAnsi="Times New Roman"/>
          <w:sz w:val="22"/>
        </w:rPr>
        <w:t>for;</w:t>
      </w:r>
      <w:proofErr w:type="gramEnd"/>
    </w:p>
    <w:p w14:paraId="38FE302F" w14:textId="77777777" w:rsidR="009A35ED" w:rsidRDefault="00000000">
      <w:pPr>
        <w:tabs>
          <w:tab w:val="left" w:pos="1134"/>
        </w:tabs>
        <w:ind w:left="1134" w:hanging="567"/>
        <w:rPr>
          <w:rFonts w:ascii="Times New Roman" w:hAnsi="Times New Roman"/>
          <w:sz w:val="22"/>
        </w:rPr>
      </w:pPr>
      <w:r>
        <w:rPr>
          <w:rFonts w:ascii="Times New Roman" w:hAnsi="Times New Roman"/>
          <w:sz w:val="22"/>
        </w:rPr>
        <w:t>d)</w:t>
      </w:r>
      <w:r>
        <w:rPr>
          <w:rFonts w:ascii="Times New Roman" w:hAnsi="Times New Roman"/>
          <w:sz w:val="22"/>
        </w:rPr>
        <w:tab/>
        <w:t>the words ‘Not to be opened before the tender opening session’ in the language of the tender dossier and “Ne otvarati prije sastanka za otvaranje ponuda”.</w:t>
      </w:r>
    </w:p>
    <w:p w14:paraId="0A8B3C44" w14:textId="77777777" w:rsidR="009A35ED" w:rsidRDefault="00000000">
      <w:pPr>
        <w:tabs>
          <w:tab w:val="left" w:pos="1134"/>
        </w:tabs>
        <w:ind w:left="567"/>
        <w:rPr>
          <w:rFonts w:ascii="Times New Roman" w:hAnsi="Times New Roman"/>
          <w:sz w:val="22"/>
        </w:rPr>
      </w:pPr>
      <w:r>
        <w:rPr>
          <w:rFonts w:ascii="Times New Roman" w:hAnsi="Times New Roman"/>
          <w:sz w:val="22"/>
        </w:rPr>
        <w:t>e)</w:t>
      </w:r>
      <w:r>
        <w:rPr>
          <w:rFonts w:ascii="Times New Roman" w:hAnsi="Times New Roman"/>
          <w:sz w:val="22"/>
        </w:rPr>
        <w:tab/>
        <w:t>the name of the tenderer.</w:t>
      </w:r>
    </w:p>
    <w:p w14:paraId="2F02E493" w14:textId="77777777" w:rsidR="009A35ED" w:rsidRDefault="00000000">
      <w:pPr>
        <w:ind w:left="567"/>
        <w:jc w:val="both"/>
        <w:outlineLvl w:val="0"/>
        <w:rPr>
          <w:rFonts w:ascii="Times New Roman" w:hAnsi="Times New Roman"/>
          <w:sz w:val="22"/>
        </w:rPr>
      </w:pPr>
      <w:r>
        <w:rPr>
          <w:rFonts w:ascii="Times New Roman" w:hAnsi="Times New Roman"/>
          <w:sz w:val="22"/>
        </w:rPr>
        <w:t>The technical and financial offers must be placed together in a sealed envelope.</w:t>
      </w:r>
    </w:p>
    <w:p w14:paraId="1D07A176" w14:textId="77777777" w:rsidR="009A35ED" w:rsidRDefault="00000000">
      <w:pPr>
        <w:pStyle w:val="Naslov1"/>
        <w:numPr>
          <w:ilvl w:val="0"/>
          <w:numId w:val="2"/>
        </w:numPr>
      </w:pPr>
      <w:bookmarkStart w:id="21" w:name="_Toc42488080"/>
      <w:r>
        <w:t>Content of tenders</w:t>
      </w:r>
      <w:bookmarkEnd w:id="21"/>
    </w:p>
    <w:p w14:paraId="48C9FF56" w14:textId="77777777" w:rsidR="009A35ED" w:rsidRDefault="00000000">
      <w:pPr>
        <w:spacing w:after="0"/>
        <w:ind w:left="567"/>
        <w:jc w:val="both"/>
        <w:outlineLvl w:val="0"/>
        <w:rPr>
          <w:rFonts w:ascii="Times New Roman" w:hAnsi="Times New Roman"/>
          <w:sz w:val="22"/>
          <w:szCs w:val="22"/>
        </w:rPr>
      </w:pPr>
      <w:r>
        <w:rPr>
          <w:rFonts w:ascii="Times New Roman" w:hAnsi="Times New Roman"/>
          <w:sz w:val="22"/>
          <w:szCs w:val="22"/>
        </w:rPr>
        <w:t>Failure to fulfil the below requirements may result in rejection of the tender. All tenders submitted must comply with the requirements in the tender dossier and comprise:</w:t>
      </w:r>
    </w:p>
    <w:p w14:paraId="23881B6D" w14:textId="127903AC" w:rsidR="008238A9" w:rsidRDefault="008238A9">
      <w:pPr>
        <w:spacing w:after="0"/>
        <w:ind w:left="567"/>
        <w:jc w:val="both"/>
        <w:outlineLvl w:val="0"/>
        <w:rPr>
          <w:rFonts w:ascii="Times New Roman" w:hAnsi="Times New Roman"/>
          <w:sz w:val="22"/>
          <w:szCs w:val="22"/>
        </w:rPr>
      </w:pPr>
    </w:p>
    <w:p w14:paraId="50538048" w14:textId="77777777" w:rsidR="009A35ED" w:rsidRDefault="00000000">
      <w:pPr>
        <w:ind w:left="567"/>
        <w:jc w:val="both"/>
        <w:outlineLvl w:val="0"/>
        <w:rPr>
          <w:rFonts w:ascii="Times New Roman" w:hAnsi="Times New Roman"/>
          <w:b/>
          <w:sz w:val="22"/>
          <w:szCs w:val="22"/>
        </w:rPr>
      </w:pPr>
      <w:r>
        <w:rPr>
          <w:rFonts w:ascii="Times New Roman" w:hAnsi="Times New Roman"/>
          <w:b/>
          <w:sz w:val="22"/>
          <w:szCs w:val="22"/>
        </w:rPr>
        <w:t>Part 1: Technical offer:</w:t>
      </w:r>
    </w:p>
    <w:p w14:paraId="52EAF4FA" w14:textId="77777777" w:rsidR="00E462B3" w:rsidRPr="00E462B3" w:rsidRDefault="00000000" w:rsidP="00E462B3">
      <w:pPr>
        <w:pStyle w:val="Naslov2"/>
        <w:keepNext w:val="0"/>
        <w:numPr>
          <w:ilvl w:val="0"/>
          <w:numId w:val="4"/>
        </w:numPr>
        <w:tabs>
          <w:tab w:val="left" w:pos="1134"/>
        </w:tabs>
        <w:spacing w:before="0" w:after="0"/>
        <w:ind w:left="1135" w:hanging="568"/>
        <w:rPr>
          <w:rFonts w:ascii="Times New Roman" w:hAnsi="Times New Roman"/>
          <w:sz w:val="22"/>
          <w:szCs w:val="22"/>
        </w:rPr>
      </w:pPr>
      <w:r>
        <w:rPr>
          <w:rFonts w:ascii="Times New Roman" w:hAnsi="Times New Roman"/>
          <w:sz w:val="22"/>
          <w:szCs w:val="22"/>
          <w:lang w:val="en-GB"/>
        </w:rPr>
        <w:t xml:space="preserve">a detailed description of the supplies tendered in conformity with the technical specifications, including any documentation </w:t>
      </w:r>
      <w:r w:rsidRPr="00E462B3">
        <w:rPr>
          <w:rFonts w:ascii="Times New Roman" w:hAnsi="Times New Roman"/>
          <w:sz w:val="22"/>
          <w:szCs w:val="22"/>
          <w:lang w:val="en-GB"/>
        </w:rPr>
        <w:t>required,</w:t>
      </w:r>
      <w:bookmarkStart w:id="22" w:name="_1j4itdjzae3j"/>
      <w:bookmarkEnd w:id="22"/>
    </w:p>
    <w:p w14:paraId="68A5F285" w14:textId="595FFFF3" w:rsidR="009A35ED" w:rsidRPr="00E462B3" w:rsidRDefault="00000000" w:rsidP="00E462B3">
      <w:pPr>
        <w:pStyle w:val="Naslov2"/>
        <w:keepNext w:val="0"/>
        <w:tabs>
          <w:tab w:val="left" w:pos="1134"/>
        </w:tabs>
        <w:spacing w:before="0" w:after="0"/>
        <w:ind w:left="1135"/>
        <w:rPr>
          <w:rFonts w:ascii="Times New Roman" w:hAnsi="Times New Roman"/>
          <w:sz w:val="22"/>
          <w:szCs w:val="22"/>
        </w:rPr>
      </w:pPr>
      <w:r w:rsidRPr="00E462B3">
        <w:rPr>
          <w:rFonts w:ascii="Times New Roman" w:hAnsi="Times New Roman"/>
          <w:sz w:val="22"/>
          <w:szCs w:val="22"/>
        </w:rPr>
        <w:t>The technical offer should be presented as per template (Annex II+III*, Contractor’s technical offer) adding separate sheets for details if necessary.</w:t>
      </w:r>
    </w:p>
    <w:p w14:paraId="4155D9CB" w14:textId="77777777" w:rsidR="009A35ED" w:rsidRPr="00E462B3" w:rsidRDefault="00000000">
      <w:pPr>
        <w:ind w:left="567"/>
        <w:jc w:val="both"/>
        <w:outlineLvl w:val="0"/>
        <w:rPr>
          <w:rFonts w:ascii="Times New Roman" w:hAnsi="Times New Roman"/>
          <w:b/>
          <w:sz w:val="22"/>
          <w:szCs w:val="22"/>
        </w:rPr>
      </w:pPr>
      <w:r w:rsidRPr="00E462B3">
        <w:rPr>
          <w:rFonts w:ascii="Times New Roman" w:hAnsi="Times New Roman"/>
          <w:b/>
          <w:sz w:val="22"/>
          <w:szCs w:val="22"/>
        </w:rPr>
        <w:t>Part 2: Financial offer:</w:t>
      </w:r>
    </w:p>
    <w:p w14:paraId="6576941B" w14:textId="77777777" w:rsidR="00E462B3" w:rsidRPr="00E462B3" w:rsidRDefault="00000000" w:rsidP="00E462B3">
      <w:pPr>
        <w:pStyle w:val="Naslov2"/>
        <w:keepNext w:val="0"/>
        <w:numPr>
          <w:ilvl w:val="0"/>
          <w:numId w:val="4"/>
        </w:numPr>
        <w:tabs>
          <w:tab w:val="left" w:pos="1134"/>
        </w:tabs>
        <w:spacing w:before="0" w:after="0"/>
        <w:ind w:left="1135" w:hanging="568"/>
        <w:rPr>
          <w:rFonts w:ascii="Times New Roman" w:hAnsi="Times New Roman"/>
          <w:b/>
          <w:sz w:val="22"/>
          <w:szCs w:val="22"/>
        </w:rPr>
      </w:pPr>
      <w:r w:rsidRPr="00E462B3">
        <w:rPr>
          <w:rFonts w:ascii="Times New Roman" w:hAnsi="Times New Roman"/>
          <w:sz w:val="22"/>
          <w:szCs w:val="22"/>
          <w:lang w:val="en-GB"/>
        </w:rPr>
        <w:lastRenderedPageBreak/>
        <w:t>A financial offer calculated on a DDP</w:t>
      </w:r>
      <w:r w:rsidRPr="00E462B3">
        <w:rPr>
          <w:rStyle w:val="FootnoteAnchor"/>
          <w:rFonts w:ascii="Times New Roman" w:hAnsi="Times New Roman"/>
        </w:rPr>
        <w:footnoteReference w:id="5"/>
      </w:r>
      <w:r w:rsidRPr="00E462B3">
        <w:rPr>
          <w:rFonts w:ascii="Times New Roman" w:hAnsi="Times New Roman"/>
          <w:sz w:val="22"/>
          <w:szCs w:val="22"/>
          <w:lang w:val="en-GB"/>
        </w:rPr>
        <w:t xml:space="preserve"> basis for the supplies tendered</w:t>
      </w:r>
      <w:r w:rsidRPr="00E462B3">
        <w:rPr>
          <w:rFonts w:ascii="Times New Roman" w:hAnsi="Times New Roman"/>
          <w:strike/>
          <w:sz w:val="22"/>
          <w:szCs w:val="22"/>
          <w:lang w:val="en-GB"/>
        </w:rPr>
        <w:t>,</w:t>
      </w:r>
    </w:p>
    <w:p w14:paraId="79FDC670" w14:textId="50EB144C" w:rsidR="009A35ED" w:rsidRDefault="00000000" w:rsidP="00E462B3">
      <w:pPr>
        <w:pStyle w:val="Naslov2"/>
        <w:keepNext w:val="0"/>
        <w:tabs>
          <w:tab w:val="left" w:pos="1134"/>
        </w:tabs>
        <w:spacing w:before="0" w:after="0"/>
        <w:ind w:left="1135"/>
        <w:rPr>
          <w:rFonts w:ascii="Times New Roman" w:hAnsi="Times New Roman"/>
          <w:b/>
          <w:sz w:val="22"/>
          <w:szCs w:val="22"/>
        </w:rPr>
      </w:pPr>
      <w:r>
        <w:rPr>
          <w:rFonts w:ascii="Times New Roman" w:hAnsi="Times New Roman"/>
          <w:sz w:val="22"/>
          <w:szCs w:val="22"/>
        </w:rPr>
        <w:t xml:space="preserve">This financial offer should be presented as per template (Annex IV*, Budget breakdown), adding separate sheets for details if necessary. </w:t>
      </w:r>
      <w:r>
        <w:rPr>
          <w:rFonts w:ascii="Times New Roman" w:hAnsi="Times New Roman"/>
          <w:sz w:val="22"/>
          <w:szCs w:val="22"/>
          <w:lang w:val="en-IE"/>
        </w:rPr>
        <w:t>All amounts are to be quoted excluding VAT. The program exempts the Contract Authority-Project Partner from paying VAT, because the total value of the project from which the equipment is procured exceeds 5,000,000</w:t>
      </w:r>
      <w:r w:rsidR="003F6B93">
        <w:rPr>
          <w:rFonts w:ascii="Times New Roman" w:hAnsi="Times New Roman"/>
          <w:sz w:val="22"/>
          <w:szCs w:val="22"/>
          <w:lang w:val="en-IE"/>
        </w:rPr>
        <w:t>,00 EUR</w:t>
      </w:r>
      <w:r>
        <w:rPr>
          <w:rFonts w:ascii="Times New Roman" w:hAnsi="Times New Roman"/>
          <w:sz w:val="22"/>
          <w:szCs w:val="22"/>
          <w:lang w:val="en-IE"/>
        </w:rPr>
        <w:t>. Upon awarding the Contract, the Contract Authority - Project partner will hand over the VAT exemption certificate to the selected supplier.</w:t>
      </w:r>
    </w:p>
    <w:p w14:paraId="17B2B1A6" w14:textId="77777777" w:rsidR="009A35ED" w:rsidRDefault="00000000">
      <w:pPr>
        <w:spacing w:after="0"/>
        <w:ind w:left="567"/>
        <w:rPr>
          <w:rFonts w:ascii="Times New Roman" w:hAnsi="Times New Roman"/>
          <w:b/>
          <w:sz w:val="22"/>
          <w:szCs w:val="22"/>
        </w:rPr>
      </w:pPr>
      <w:r>
        <w:rPr>
          <w:rFonts w:ascii="Times New Roman" w:hAnsi="Times New Roman"/>
          <w:b/>
          <w:sz w:val="22"/>
          <w:szCs w:val="22"/>
        </w:rPr>
        <w:t>Part 3: Documentation:</w:t>
      </w:r>
    </w:p>
    <w:p w14:paraId="3D55E3A1"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using the templates attached*:</w:t>
      </w:r>
    </w:p>
    <w:p w14:paraId="230A656A" w14:textId="77777777" w:rsidR="009A35ED" w:rsidRDefault="00000000">
      <w:pPr>
        <w:numPr>
          <w:ilvl w:val="0"/>
          <w:numId w:val="4"/>
        </w:numPr>
        <w:tabs>
          <w:tab w:val="left" w:pos="1134"/>
        </w:tabs>
        <w:ind w:left="1134" w:hanging="567"/>
        <w:jc w:val="both"/>
        <w:rPr>
          <w:rFonts w:ascii="Times New Roman" w:hAnsi="Times New Roman"/>
          <w:sz w:val="22"/>
          <w:szCs w:val="22"/>
        </w:rPr>
      </w:pPr>
      <w:r>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(if any)).:</w:t>
      </w:r>
    </w:p>
    <w:p w14:paraId="60E169C0" w14:textId="77777777" w:rsidR="009A35ED" w:rsidRDefault="00000000">
      <w:pPr>
        <w:numPr>
          <w:ilvl w:val="0"/>
          <w:numId w:val="4"/>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the details of the bank account into which payments should be made</w:t>
      </w:r>
      <w:r>
        <w:rPr>
          <w:rFonts w:ascii="Times New Roman" w:hAnsi="Times New Roman"/>
        </w:rPr>
        <w:t xml:space="preserve"> </w:t>
      </w:r>
    </w:p>
    <w:p w14:paraId="42A2C736" w14:textId="77777777" w:rsidR="009A35ED" w:rsidRDefault="00000000">
      <w:pPr>
        <w:numPr>
          <w:ilvl w:val="0"/>
          <w:numId w:val="4"/>
        </w:numPr>
        <w:spacing w:after="0"/>
        <w:ind w:left="1208" w:hanging="357"/>
        <w:jc w:val="both"/>
        <w:rPr>
          <w:rFonts w:ascii="Times New Roman" w:hAnsi="Times New Roman"/>
          <w:sz w:val="22"/>
          <w:szCs w:val="22"/>
        </w:rPr>
      </w:pPr>
      <w:r>
        <w:rPr>
          <w:rFonts w:ascii="Times New Roman" w:hAnsi="Times New Roman"/>
          <w:sz w:val="22"/>
          <w:szCs w:val="22"/>
        </w:rPr>
        <w:t xml:space="preserve">Legal entity file (LEF) and the supporting documents </w:t>
      </w:r>
    </w:p>
    <w:p w14:paraId="79C141FF"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in free-text format:</w:t>
      </w:r>
    </w:p>
    <w:p w14:paraId="060DDC9C" w14:textId="77777777" w:rsidR="009A35ED" w:rsidRDefault="00000000">
      <w:pPr>
        <w:pStyle w:val="Odlomakpopisa"/>
        <w:numPr>
          <w:ilvl w:val="0"/>
          <w:numId w:val="7"/>
        </w:numPr>
        <w:jc w:val="both"/>
        <w:rPr>
          <w:rFonts w:ascii="Times New Roman" w:hAnsi="Times New Roman"/>
        </w:rPr>
      </w:pPr>
      <w:r>
        <w:rPr>
          <w:rFonts w:ascii="Times New Roman" w:hAnsi="Times New Roman"/>
        </w:rPr>
        <w:t>A description of the warranty conditions, which must be in accordance with the conditions laid down in Article 32 of the General Conditions</w:t>
      </w:r>
      <w:r>
        <w:rPr>
          <w:rFonts w:ascii="Times New Roman" w:hAnsi="Times New Roman"/>
          <w:color w:val="339966"/>
          <w:u w:val="single"/>
        </w:rPr>
        <w:t>.</w:t>
      </w:r>
    </w:p>
    <w:p w14:paraId="5CD501A5" w14:textId="77777777" w:rsidR="009A35ED" w:rsidRDefault="00000000">
      <w:pPr>
        <w:numPr>
          <w:ilvl w:val="0"/>
          <w:numId w:val="4"/>
        </w:numPr>
        <w:tabs>
          <w:tab w:val="left" w:pos="1134"/>
        </w:tabs>
        <w:spacing w:after="0"/>
        <w:ind w:left="1135" w:hanging="568"/>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6F755FE2" w14:textId="77777777" w:rsidR="006913E8" w:rsidRPr="006913E8" w:rsidRDefault="006913E8" w:rsidP="006913E8">
      <w:pPr>
        <w:spacing w:after="0"/>
        <w:ind w:left="1135"/>
        <w:jc w:val="both"/>
        <w:rPr>
          <w:rFonts w:ascii="Times New Roman" w:hAnsi="Times New Roman"/>
          <w:sz w:val="22"/>
          <w:szCs w:val="22"/>
        </w:rPr>
      </w:pPr>
    </w:p>
    <w:p w14:paraId="7207FE85" w14:textId="40587D08" w:rsidR="009A35ED" w:rsidRDefault="0054361E">
      <w:pPr>
        <w:pStyle w:val="Naslov1"/>
        <w:numPr>
          <w:ilvl w:val="0"/>
          <w:numId w:val="2"/>
        </w:numPr>
      </w:pPr>
      <w:bookmarkStart w:id="23" w:name="_Toc42488081"/>
      <w:r>
        <w:t>Taxes and other charges</w:t>
      </w:r>
      <w:bookmarkEnd w:id="23"/>
    </w:p>
    <w:p w14:paraId="37BC3079" w14:textId="77777777" w:rsidR="009A35ED" w:rsidRDefault="00000000">
      <w:pPr>
        <w:pStyle w:val="Naslov2"/>
        <w:ind w:left="567"/>
        <w:jc w:val="both"/>
        <w:rPr>
          <w:rFonts w:ascii="Times New Roman" w:hAnsi="Times New Roman"/>
          <w:sz w:val="22"/>
          <w:lang w:val="en-GB"/>
        </w:rPr>
      </w:pPr>
      <w:r>
        <w:rPr>
          <w:rFonts w:ascii="Times New Roman" w:hAnsi="Times New Roman"/>
          <w:sz w:val="22"/>
          <w:lang w:val="en-GB"/>
        </w:rPr>
        <w:t>The applicable tax and customs arrangements are the following:</w:t>
      </w:r>
    </w:p>
    <w:p w14:paraId="499C6B0C" w14:textId="77777777" w:rsidR="009A35ED" w:rsidRDefault="00000000">
      <w:pPr>
        <w:ind w:left="567"/>
        <w:jc w:val="both"/>
        <w:rPr>
          <w:rFonts w:ascii="Times New Roman" w:hAnsi="Times New Roman"/>
          <w:sz w:val="22"/>
        </w:rPr>
      </w:pPr>
      <w:r>
        <w:rPr>
          <w:rFonts w:ascii="Times New Roman" w:hAnsi="Times New Roman"/>
          <w:sz w:val="22"/>
        </w:rPr>
        <w:t>Exemption from payment of value added tax (VAT) for users from Bosnia and Herzegovina who implement projects financed under the Interreg program is regulated:</w:t>
      </w:r>
    </w:p>
    <w:p w14:paraId="10C38414" w14:textId="77777777" w:rsidR="009A35ED" w:rsidRDefault="00000000">
      <w:pPr>
        <w:ind w:left="567"/>
        <w:jc w:val="both"/>
        <w:rPr>
          <w:rFonts w:ascii="Times New Roman" w:hAnsi="Times New Roman"/>
          <w:sz w:val="22"/>
        </w:rPr>
      </w:pPr>
      <w:r>
        <w:rPr>
          <w:rFonts w:ascii="Times New Roman" w:hAnsi="Times New Roman"/>
          <w:sz w:val="22"/>
        </w:rPr>
        <w:t>Framework agreement on financial partnership between the European Commission and Bosnia and Herzegovina (IPA III),</w:t>
      </w:r>
    </w:p>
    <w:p w14:paraId="37AEA924" w14:textId="77777777" w:rsidR="009A35ED" w:rsidRDefault="00000000">
      <w:pPr>
        <w:ind w:left="567"/>
        <w:jc w:val="both"/>
        <w:rPr>
          <w:rFonts w:ascii="Times New Roman" w:hAnsi="Times New Roman"/>
          <w:sz w:val="22"/>
        </w:rPr>
      </w:pPr>
      <w:r>
        <w:rPr>
          <w:rFonts w:ascii="Times New Roman" w:hAnsi="Times New Roman"/>
          <w:sz w:val="22"/>
        </w:rPr>
        <w:t>By the instruction on the procedure for obtaining customs and tax exemptions ("Official Gazette of Bosnia and Herzegovina", number 16/23),</w:t>
      </w:r>
    </w:p>
    <w:p w14:paraId="429B948F" w14:textId="77777777" w:rsidR="009A35ED" w:rsidRDefault="00000000">
      <w:pPr>
        <w:ind w:left="567"/>
        <w:jc w:val="both"/>
        <w:rPr>
          <w:rFonts w:ascii="Times New Roman" w:hAnsi="Times New Roman"/>
          <w:sz w:val="22"/>
        </w:rPr>
      </w:pPr>
      <w:r>
        <w:rPr>
          <w:rFonts w:ascii="Times New Roman" w:hAnsi="Times New Roman"/>
          <w:sz w:val="22"/>
        </w:rPr>
        <w:t>By the Instruction on Amendments and Supplements to the Instruction ("Official Gazette of Bosnia and Herzegovina", number 16/25).</w:t>
      </w:r>
      <w:bookmarkStart w:id="24" w:name="_Toc42488082"/>
    </w:p>
    <w:p w14:paraId="659EFA8E" w14:textId="77777777" w:rsidR="009A35ED" w:rsidRDefault="00000000">
      <w:pPr>
        <w:ind w:left="567"/>
        <w:jc w:val="both"/>
        <w:rPr>
          <w:rFonts w:ascii="Times New Roman" w:hAnsi="Times New Roman"/>
          <w:sz w:val="22"/>
        </w:rPr>
      </w:pPr>
      <w:r>
        <w:rPr>
          <w:rFonts w:ascii="Times New Roman" w:hAnsi="Times New Roman"/>
          <w:sz w:val="22"/>
          <w:szCs w:val="22"/>
        </w:rPr>
        <w:t>VAT is not an eligible cost</w:t>
      </w:r>
    </w:p>
    <w:p w14:paraId="1EFEF3CD" w14:textId="77777777" w:rsidR="009A35ED" w:rsidRDefault="00000000">
      <w:pPr>
        <w:pStyle w:val="Naslov1"/>
        <w:numPr>
          <w:ilvl w:val="0"/>
          <w:numId w:val="2"/>
        </w:numPr>
      </w:pPr>
      <w:r>
        <w:t>Additional information before the deadline for submission of tenders</w:t>
      </w:r>
      <w:bookmarkEnd w:id="24"/>
    </w:p>
    <w:p w14:paraId="35DBCDA0" w14:textId="77777777" w:rsidR="009A35ED" w:rsidRDefault="00000000">
      <w:pPr>
        <w:ind w:left="567"/>
        <w:jc w:val="both"/>
        <w:rPr>
          <w:rFonts w:ascii="Times New Roman" w:hAnsi="Times New Roman"/>
        </w:rPr>
      </w:pPr>
      <w:r>
        <w:rPr>
          <w:rFonts w:ascii="Times New Roman" w:hAnsi="Times New Roman"/>
          <w:sz w:val="22"/>
        </w:rPr>
        <w:t xml:space="preserve">The tender dossier should be so clear that tenderers do not need to request additional information during the procedure. If the Contracting authority - Project partner, on its own initiative or in response </w:t>
      </w:r>
      <w:r>
        <w:rPr>
          <w:rFonts w:ascii="Times New Roman" w:hAnsi="Times New Roman"/>
          <w:sz w:val="22"/>
        </w:rPr>
        <w:lastRenderedPageBreak/>
        <w:t>to a request from a prospective tenderer, provides additional information on the tender dossier, it must send such information in writing to all other prospective tenderers at the same time.</w:t>
      </w:r>
    </w:p>
    <w:p w14:paraId="69F49BBB" w14:textId="77777777" w:rsidR="004C7DA2" w:rsidRPr="004C7DA2" w:rsidRDefault="00000000" w:rsidP="004C7DA2">
      <w:pPr>
        <w:ind w:left="567"/>
        <w:jc w:val="both"/>
        <w:rPr>
          <w:rFonts w:ascii="Times New Roman" w:hAnsi="Times New Roman"/>
          <w:b/>
          <w:bCs/>
          <w:sz w:val="22"/>
        </w:rPr>
      </w:pPr>
      <w:r>
        <w:rPr>
          <w:rFonts w:ascii="Times New Roman" w:hAnsi="Times New Roman"/>
          <w:sz w:val="22"/>
        </w:rPr>
        <w:t xml:space="preserve">Tenderers may submit questions in writing to the following address up to 21 days before the deadline for submission of tenders, specifying the </w:t>
      </w:r>
      <w:r w:rsidRPr="00AD2A25">
        <w:rPr>
          <w:rFonts w:ascii="Times New Roman" w:hAnsi="Times New Roman"/>
          <w:b/>
          <w:sz w:val="22"/>
        </w:rPr>
        <w:t>publication reference</w:t>
      </w:r>
      <w:r w:rsidR="000D0DE0" w:rsidRPr="00AD2A25">
        <w:rPr>
          <w:rFonts w:ascii="Times New Roman" w:hAnsi="Times New Roman"/>
          <w:b/>
          <w:sz w:val="22"/>
        </w:rPr>
        <w:t xml:space="preserve"> </w:t>
      </w:r>
      <w:r w:rsidR="000D0DE0" w:rsidRPr="00256146">
        <w:rPr>
          <w:rFonts w:ascii="Times New Roman" w:hAnsi="Times New Roman"/>
          <w:b/>
          <w:sz w:val="22"/>
        </w:rPr>
        <w:t>01-11</w:t>
      </w:r>
      <w:r w:rsidR="00256146" w:rsidRPr="00256146">
        <w:rPr>
          <w:rFonts w:ascii="Times New Roman" w:hAnsi="Times New Roman"/>
          <w:b/>
          <w:sz w:val="22"/>
        </w:rPr>
        <w:t>-</w:t>
      </w:r>
      <w:r w:rsidR="004C7DA2">
        <w:rPr>
          <w:rFonts w:ascii="Times New Roman" w:hAnsi="Times New Roman"/>
          <w:b/>
          <w:sz w:val="22"/>
        </w:rPr>
        <w:t>6882</w:t>
      </w:r>
      <w:r w:rsidR="00256146" w:rsidRPr="00256146">
        <w:rPr>
          <w:rFonts w:ascii="Times New Roman" w:hAnsi="Times New Roman"/>
          <w:b/>
          <w:sz w:val="22"/>
        </w:rPr>
        <w:t>/26</w:t>
      </w:r>
      <w:r w:rsidR="000D0DE0" w:rsidRPr="00256146">
        <w:rPr>
          <w:rFonts w:ascii="Times New Roman" w:hAnsi="Times New Roman"/>
          <w:b/>
          <w:sz w:val="22"/>
        </w:rPr>
        <w:t>-</w:t>
      </w:r>
      <w:r w:rsidRPr="00256146">
        <w:rPr>
          <w:rFonts w:ascii="Times New Roman" w:hAnsi="Times New Roman"/>
          <w:b/>
          <w:sz w:val="22"/>
        </w:rPr>
        <w:t>and the</w:t>
      </w:r>
      <w:r>
        <w:rPr>
          <w:rFonts w:ascii="Times New Roman" w:hAnsi="Times New Roman"/>
          <w:b/>
          <w:sz w:val="22"/>
        </w:rPr>
        <w:t xml:space="preserve"> contract title</w:t>
      </w:r>
      <w:r>
        <w:rPr>
          <w:rFonts w:ascii="Times New Roman" w:hAnsi="Times New Roman"/>
          <w:sz w:val="22"/>
        </w:rPr>
        <w:t xml:space="preserve">: </w:t>
      </w:r>
      <w:r w:rsidR="004C7DA2" w:rsidRPr="004C7DA2">
        <w:rPr>
          <w:rFonts w:ascii="Times New Roman" w:hAnsi="Times New Roman"/>
          <w:b/>
          <w:bCs/>
          <w:sz w:val="22"/>
        </w:rPr>
        <w:t>The Procurement of Modern Ultrasound System for Cardiovascular Diagnostic</w:t>
      </w:r>
    </w:p>
    <w:p w14:paraId="7FAE1A87" w14:textId="1D241319" w:rsidR="009A35ED" w:rsidRDefault="00000000">
      <w:pPr>
        <w:pStyle w:val="Tijeloteksta"/>
        <w:spacing w:before="0"/>
        <w:ind w:left="567"/>
        <w:rPr>
          <w:rFonts w:ascii="Times New Roman" w:hAnsi="Times New Roman"/>
        </w:rPr>
      </w:pPr>
      <w:r>
        <w:rPr>
          <w:rFonts w:ascii="Times New Roman" w:hAnsi="Times New Roman"/>
          <w:sz w:val="22"/>
        </w:rPr>
        <w:t>University Clinical Hospital Mostar</w:t>
      </w:r>
      <w:r>
        <w:rPr>
          <w:rFonts w:ascii="Times New Roman" w:hAnsi="Times New Roman"/>
          <w:sz w:val="22"/>
          <w:highlight w:val="yellow"/>
        </w:rPr>
        <w:br/>
      </w:r>
      <w:r>
        <w:rPr>
          <w:rFonts w:ascii="Times New Roman" w:hAnsi="Times New Roman"/>
          <w:sz w:val="22"/>
        </w:rPr>
        <w:t>Kralja Tvrtka bb, 88 000 Mostar</w:t>
      </w:r>
      <w:r>
        <w:rPr>
          <w:rFonts w:ascii="Times New Roman" w:hAnsi="Times New Roman"/>
          <w:sz w:val="22"/>
        </w:rPr>
        <w:br/>
        <w:t>Fax</w:t>
      </w:r>
      <w:r>
        <w:rPr>
          <w:rFonts w:ascii="Times New Roman" w:hAnsi="Times New Roman"/>
          <w:sz w:val="22"/>
        </w:rPr>
        <w:br/>
        <w:t>E-mail</w:t>
      </w:r>
      <w:r w:rsidR="00256146">
        <w:rPr>
          <w:rFonts w:ascii="Times New Roman" w:hAnsi="Times New Roman"/>
          <w:sz w:val="22"/>
        </w:rPr>
        <w:t xml:space="preserve">:   </w:t>
      </w:r>
      <w:r>
        <w:rPr>
          <w:rFonts w:ascii="Times New Roman" w:hAnsi="Times New Roman"/>
          <w:sz w:val="22"/>
        </w:rPr>
        <w:t>uredzaprojekte@skbm.ba</w:t>
      </w:r>
    </w:p>
    <w:p w14:paraId="553CAB72" w14:textId="77777777" w:rsidR="009A35ED" w:rsidRDefault="00000000">
      <w:pPr>
        <w:pStyle w:val="Tijeloteksta"/>
        <w:ind w:left="567"/>
        <w:jc w:val="both"/>
        <w:rPr>
          <w:rFonts w:ascii="Times New Roman" w:hAnsi="Times New Roman"/>
          <w:sz w:val="22"/>
          <w:szCs w:val="22"/>
        </w:rPr>
      </w:pPr>
      <w:r>
        <w:rPr>
          <w:rFonts w:ascii="Times New Roman" w:hAnsi="Times New Roman"/>
          <w:sz w:val="22"/>
        </w:rPr>
        <w:t>The Contracting authority - Project partner has no obligation to provide clarifications after this date.</w:t>
      </w:r>
    </w:p>
    <w:p w14:paraId="138A1EBE" w14:textId="77777777" w:rsidR="009A35ED" w:rsidRDefault="00000000">
      <w:pPr>
        <w:pStyle w:val="Tijeloteksta"/>
        <w:ind w:left="567"/>
        <w:jc w:val="both"/>
        <w:rPr>
          <w:rFonts w:ascii="Times New Roman" w:hAnsi="Times New Roman"/>
          <w:sz w:val="22"/>
        </w:rPr>
      </w:pPr>
      <w:r>
        <w:rPr>
          <w:rFonts w:ascii="Times New Roman" w:hAnsi="Times New Roman"/>
          <w:sz w:val="22"/>
          <w:szCs w:val="22"/>
        </w:rPr>
        <w:t xml:space="preserve">Any clarification of the tender dossier will be published on the following website </w:t>
      </w:r>
      <w:hyperlink r:id="rId15">
        <w:r w:rsidR="009A35ED">
          <w:rPr>
            <w:rStyle w:val="Hiperveza"/>
            <w:rFonts w:ascii="Times New Roman" w:hAnsi="Times New Roman"/>
            <w:sz w:val="22"/>
            <w:szCs w:val="22"/>
          </w:rPr>
          <w:t>www.skbm.ba</w:t>
        </w:r>
      </w:hyperlink>
      <w:r>
        <w:rPr>
          <w:rFonts w:ascii="Times New Roman" w:hAnsi="Times New Roman"/>
          <w:sz w:val="22"/>
          <w:szCs w:val="22"/>
        </w:rPr>
        <w:t xml:space="preserve"> </w:t>
      </w:r>
      <w:r>
        <w:rPr>
          <w:rFonts w:ascii="Times New Roman" w:hAnsi="Times New Roman"/>
          <w:sz w:val="22"/>
        </w:rPr>
        <w:t>at the latest 11 days before the deadline for submission of tenders.</w:t>
      </w:r>
    </w:p>
    <w:p w14:paraId="34CA08D6" w14:textId="77777777" w:rsidR="009A35ED" w:rsidRDefault="00000000">
      <w:pPr>
        <w:pStyle w:val="Tijeloteksta"/>
        <w:ind w:left="567"/>
        <w:jc w:val="both"/>
        <w:rPr>
          <w:rFonts w:ascii="Times New Roman" w:hAnsi="Times New Roman"/>
          <w:sz w:val="22"/>
        </w:rPr>
      </w:pPr>
      <w:r>
        <w:rPr>
          <w:rFonts w:ascii="Times New Roman" w:hAnsi="Times New Roman"/>
          <w:sz w:val="22"/>
        </w:rPr>
        <w:t>No individual meetings are foreseen. Any prospective tenderers seeking to arrange individual meetings with the Contracting Authority Project partner during the tender period may be excluded from the tender procedure.</w:t>
      </w:r>
    </w:p>
    <w:p w14:paraId="45C1BADB" w14:textId="77777777" w:rsidR="009A35ED" w:rsidRDefault="00000000">
      <w:pPr>
        <w:pStyle w:val="Naslov1"/>
        <w:numPr>
          <w:ilvl w:val="0"/>
          <w:numId w:val="2"/>
        </w:numPr>
      </w:pPr>
      <w:bookmarkStart w:id="25" w:name="_Toc42488083"/>
      <w:r>
        <w:t xml:space="preserve">Clarification </w:t>
      </w:r>
      <w:proofErr w:type="gramStart"/>
      <w:r>
        <w:t>meeting</w:t>
      </w:r>
      <w:proofErr w:type="gramEnd"/>
      <w:r>
        <w:t xml:space="preserve"> / site visit</w:t>
      </w:r>
      <w:bookmarkEnd w:id="25"/>
    </w:p>
    <w:p w14:paraId="7239BD24" w14:textId="77777777" w:rsidR="002A1911" w:rsidRDefault="002A1911">
      <w:pPr>
        <w:pStyle w:val="Naslov2"/>
        <w:keepNext w:val="0"/>
        <w:numPr>
          <w:ilvl w:val="1"/>
          <w:numId w:val="3"/>
        </w:numPr>
        <w:ind w:left="567" w:hanging="567"/>
        <w:jc w:val="both"/>
        <w:rPr>
          <w:rFonts w:ascii="Times New Roman" w:hAnsi="Times New Roman"/>
          <w:sz w:val="22"/>
          <w:szCs w:val="22"/>
          <w:lang w:val="en-GB"/>
        </w:rPr>
      </w:pPr>
      <w:r w:rsidRPr="002A1911">
        <w:rPr>
          <w:rFonts w:ascii="Times New Roman" w:hAnsi="Times New Roman"/>
          <w:sz w:val="22"/>
          <w:szCs w:val="22"/>
          <w:lang w:val="en-GB"/>
        </w:rPr>
        <w:tab/>
        <w:t xml:space="preserve">No clarification meeting / site visit planned. Visits by individual prospective tenderers during the tender period cannot be organised. </w:t>
      </w:r>
    </w:p>
    <w:p w14:paraId="19A202D3" w14:textId="77777777" w:rsidR="009A35ED" w:rsidRDefault="00000000">
      <w:pPr>
        <w:pStyle w:val="Naslov1"/>
        <w:numPr>
          <w:ilvl w:val="0"/>
          <w:numId w:val="2"/>
        </w:numPr>
        <w:rPr>
          <w:lang w:val="en-GB"/>
        </w:rPr>
      </w:pPr>
      <w:bookmarkStart w:id="26" w:name="_Toc42488084"/>
      <w:r>
        <w:rPr>
          <w:lang w:val="en-GB"/>
        </w:rPr>
        <w:t>Alteration or withdrawal of tenders</w:t>
      </w:r>
      <w:bookmarkEnd w:id="26"/>
    </w:p>
    <w:p w14:paraId="77530ED3" w14:textId="77777777" w:rsidR="009A35ED" w:rsidRDefault="00000000">
      <w:pPr>
        <w:pStyle w:val="Naslov2"/>
        <w:keepLines/>
        <w:ind w:left="567" w:hanging="567"/>
        <w:jc w:val="both"/>
        <w:rPr>
          <w:rFonts w:ascii="Times New Roman" w:hAnsi="Times New Roman"/>
          <w:lang w:val="en-GB"/>
        </w:rPr>
      </w:pPr>
      <w:r>
        <w:rPr>
          <w:rFonts w:ascii="Times New Roman" w:hAnsi="Times New Roman"/>
          <w:sz w:val="22"/>
          <w:lang w:val="en-GB"/>
        </w:rPr>
        <w:t>15.1</w:t>
      </w:r>
      <w:r>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486C9B01"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15.2</w:t>
      </w:r>
      <w:r>
        <w:rPr>
          <w:rFonts w:ascii="Times New Roman" w:hAnsi="Times New Roman"/>
          <w:sz w:val="22"/>
          <w:lang w:val="en-GB"/>
        </w:rPr>
        <w:tab/>
        <w:t>Any such notification of alteration or withdrawal must be prepared and submitted in accordance with Article 10. The outer envelope must be marked ‘Alteration’ or ‘Withdrawal’ as appropriate.</w:t>
      </w:r>
    </w:p>
    <w:p w14:paraId="0983540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15.3</w:t>
      </w:r>
      <w:r>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E3A474A" w14:textId="77777777" w:rsidR="009A35ED" w:rsidRDefault="00000000">
      <w:pPr>
        <w:pStyle w:val="Naslov1"/>
        <w:numPr>
          <w:ilvl w:val="0"/>
          <w:numId w:val="2"/>
        </w:numPr>
        <w:rPr>
          <w:lang w:val="en-GB"/>
        </w:rPr>
      </w:pPr>
      <w:bookmarkStart w:id="27" w:name="_Toc42488085"/>
      <w:r>
        <w:rPr>
          <w:lang w:val="en-GB"/>
        </w:rPr>
        <w:t>Costs of preparing tenders</w:t>
      </w:r>
      <w:bookmarkEnd w:id="27"/>
    </w:p>
    <w:p w14:paraId="6CCD99B4" w14:textId="77777777" w:rsidR="009A35ED" w:rsidRDefault="00000000">
      <w:pPr>
        <w:tabs>
          <w:tab w:val="left" w:pos="567"/>
        </w:tabs>
        <w:ind w:left="567"/>
        <w:jc w:val="both"/>
        <w:rPr>
          <w:rFonts w:ascii="Times New Roman" w:hAnsi="Times New Roman"/>
          <w:sz w:val="22"/>
        </w:rPr>
      </w:pPr>
      <w:r>
        <w:rPr>
          <w:rFonts w:ascii="Times New Roman" w:hAnsi="Times New Roman"/>
          <w:sz w:val="22"/>
        </w:rPr>
        <w:t>No costs incurred by the tenderer in preparing and submitting the tender are reimbursable. All such costs will be borne by the tenderer.</w:t>
      </w:r>
    </w:p>
    <w:p w14:paraId="268E7498" w14:textId="77777777" w:rsidR="009A35ED" w:rsidRDefault="00000000">
      <w:pPr>
        <w:pStyle w:val="Naslov1"/>
        <w:numPr>
          <w:ilvl w:val="0"/>
          <w:numId w:val="2"/>
        </w:numPr>
        <w:rPr>
          <w:lang w:val="en-GB"/>
        </w:rPr>
      </w:pPr>
      <w:bookmarkStart w:id="28" w:name="_Toc42488086"/>
      <w:r>
        <w:rPr>
          <w:lang w:val="en-GB"/>
        </w:rPr>
        <w:t>Ownership of tenders</w:t>
      </w:r>
      <w:bookmarkEnd w:id="28"/>
    </w:p>
    <w:p w14:paraId="421BBBC4" w14:textId="77777777" w:rsidR="009A35ED" w:rsidRDefault="00000000">
      <w:pPr>
        <w:ind w:left="567"/>
        <w:jc w:val="both"/>
        <w:rPr>
          <w:rFonts w:ascii="Times New Roman" w:hAnsi="Times New Roman"/>
          <w:sz w:val="22"/>
        </w:rPr>
      </w:pPr>
      <w:r>
        <w:rPr>
          <w:rFonts w:ascii="Times New Roman" w:hAnsi="Times New Roman"/>
          <w:sz w:val="22"/>
        </w:rPr>
        <w:t>The Project partner retains ownership of all tenders received under this tender procedure. Consequently, tenderers have no right to have their tenders returned to them.</w:t>
      </w:r>
    </w:p>
    <w:p w14:paraId="3CFF3228" w14:textId="77777777" w:rsidR="009A35ED" w:rsidRDefault="00000000">
      <w:pPr>
        <w:pStyle w:val="Naslov1"/>
        <w:numPr>
          <w:ilvl w:val="0"/>
          <w:numId w:val="2"/>
        </w:numPr>
      </w:pPr>
      <w:bookmarkStart w:id="29" w:name="_Toc42488087"/>
      <w:r>
        <w:t>Joint venture or consortium</w:t>
      </w:r>
      <w:bookmarkEnd w:id="29"/>
    </w:p>
    <w:p w14:paraId="25340E36"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18.1</w:t>
      </w:r>
      <w:r>
        <w:rPr>
          <w:rFonts w:ascii="Times New Roman" w:hAnsi="Times New Roman"/>
          <w:sz w:val="22"/>
          <w:lang w:val="en-GB"/>
        </w:rPr>
        <w:tab/>
        <w:t xml:space="preserve">If a tenderer is a consortium of two or more persons, the tender must be </w:t>
      </w:r>
      <w:proofErr w:type="gramStart"/>
      <w:r>
        <w:rPr>
          <w:rFonts w:ascii="Times New Roman" w:hAnsi="Times New Roman"/>
          <w:sz w:val="22"/>
          <w:lang w:val="en-GB"/>
        </w:rPr>
        <w:t>a single one</w:t>
      </w:r>
      <w:proofErr w:type="gramEnd"/>
      <w:r>
        <w:rPr>
          <w:rFonts w:ascii="Times New Roman" w:hAnsi="Times New Roman"/>
          <w:sz w:val="22"/>
          <w:lang w:val="en-GB"/>
        </w:rPr>
        <w:t xml:space="preserve"> with the object of securing a single contract each person must sign the tender and will be jointly and severally liable for the tender and any contract. Members of the consortium should designate one of their members </w:t>
      </w:r>
      <w:r>
        <w:rPr>
          <w:rFonts w:ascii="Times New Roman" w:hAnsi="Times New Roman"/>
          <w:sz w:val="22"/>
          <w:lang w:val="en-GB"/>
        </w:rPr>
        <w:lastRenderedPageBreak/>
        <w:t>to act as leader with authority to bind the consortium. The composition of the consortium must not be altered.</w:t>
      </w:r>
    </w:p>
    <w:p w14:paraId="5911F3C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18.2</w:t>
      </w:r>
      <w:r>
        <w:rPr>
          <w:rFonts w:ascii="Times New Roman" w:hAnsi="Times New Roman"/>
          <w:sz w:val="22"/>
          <w:lang w:val="en-GB"/>
        </w:rPr>
        <w:tab/>
        <w:t>The tender may be signed by the representative of the consortium only if it has been expressly so authorised in writing by the members of the joint venture or consortium, and the authorising contract, notarial act or deed must be submitted to the contracting authority in accordance with point 11 of these instructions to tenderers</w:t>
      </w:r>
    </w:p>
    <w:p w14:paraId="20C0E731" w14:textId="77777777" w:rsidR="009A35ED" w:rsidRDefault="00000000">
      <w:pPr>
        <w:pStyle w:val="Naslov1"/>
        <w:numPr>
          <w:ilvl w:val="0"/>
          <w:numId w:val="2"/>
        </w:numPr>
      </w:pPr>
      <w:bookmarkStart w:id="30" w:name="_Toc42488088"/>
      <w:r>
        <w:t>Opening of tenders</w:t>
      </w:r>
      <w:bookmarkEnd w:id="30"/>
    </w:p>
    <w:p w14:paraId="2371FF7F"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19.1</w:t>
      </w:r>
      <w:r>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6763638E" w14:textId="211A040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19.2</w:t>
      </w:r>
      <w:r>
        <w:rPr>
          <w:rFonts w:ascii="Times New Roman" w:hAnsi="Times New Roman"/>
          <w:sz w:val="22"/>
          <w:lang w:val="en-GB"/>
        </w:rPr>
        <w:tab/>
        <w:t xml:space="preserve">The tenders will be opened in public session on </w:t>
      </w:r>
      <w:r w:rsidR="004C7DA2" w:rsidRPr="004C7DA2">
        <w:rPr>
          <w:rFonts w:ascii="Times New Roman" w:hAnsi="Times New Roman"/>
          <w:b/>
          <w:bCs/>
          <w:sz w:val="22"/>
          <w:lang w:val="en-GB"/>
        </w:rPr>
        <w:t>09.09</w:t>
      </w:r>
      <w:r w:rsidRPr="004C7DA2">
        <w:rPr>
          <w:rFonts w:ascii="Times New Roman" w:hAnsi="Times New Roman"/>
          <w:b/>
          <w:bCs/>
          <w:sz w:val="22"/>
          <w:lang w:val="en-GB"/>
        </w:rPr>
        <w:t>.</w:t>
      </w:r>
      <w:r>
        <w:rPr>
          <w:rFonts w:ascii="Times New Roman" w:hAnsi="Times New Roman"/>
          <w:b/>
          <w:bCs/>
          <w:sz w:val="22"/>
          <w:lang w:val="en-GB"/>
        </w:rPr>
        <w:t>2026. at 12:00 Local time at UC</w:t>
      </w:r>
      <w:r w:rsidR="005553F4">
        <w:rPr>
          <w:rFonts w:ascii="Times New Roman" w:hAnsi="Times New Roman"/>
          <w:b/>
          <w:bCs/>
          <w:sz w:val="22"/>
          <w:lang w:val="en-GB"/>
        </w:rPr>
        <w:t>H</w:t>
      </w:r>
      <w:r>
        <w:rPr>
          <w:rFonts w:ascii="Times New Roman" w:hAnsi="Times New Roman"/>
          <w:b/>
          <w:bCs/>
          <w:sz w:val="22"/>
          <w:lang w:val="en-GB"/>
        </w:rPr>
        <w:t xml:space="preserve"> Mostar, Kralja Tvrtka bb, 88000 Mostar</w:t>
      </w:r>
      <w:r>
        <w:rPr>
          <w:rFonts w:ascii="Times New Roman" w:hAnsi="Times New Roman"/>
          <w:sz w:val="22"/>
          <w:lang w:val="en-GB"/>
        </w:rPr>
        <w:t xml:space="preserve"> by the committee appointed for the purpose. The committee will draw up minutes of the meeting, which will be available on request.</w:t>
      </w:r>
    </w:p>
    <w:p w14:paraId="6AEF362B"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19.3</w:t>
      </w:r>
      <w:r>
        <w:rPr>
          <w:rFonts w:ascii="Times New Roman" w:hAnsi="Times New Roman"/>
          <w:sz w:val="22"/>
          <w:lang w:val="en-GB"/>
        </w:rPr>
        <w:tab/>
        <w:t>At the tender opening, the tenderers’ names, the tender prices, any discount offered, written notifications of alteration and withdrawal, the presence of the requisite tender guarantee (if required) and such other information as the Project partner may consider appropriate may be announced.</w:t>
      </w:r>
    </w:p>
    <w:p w14:paraId="75FE0BED"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19.4</w:t>
      </w:r>
      <w:r>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E1C6A20"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19.5</w:t>
      </w:r>
      <w:r>
        <w:rPr>
          <w:rFonts w:ascii="Times New Roman" w:hAnsi="Times New Roman"/>
          <w:sz w:val="22"/>
          <w:lang w:val="en-GB"/>
        </w:rPr>
        <w:tab/>
        <w:t>Any attempt by tenderers to influence the evaluation committee in the process of examination, clarification, evaluation and comparison of tenders, to obtain information on how the procedure is progressing or to influence the Project partner in its decision concerning the award of the contract will result in the immediate rejection of their tenders.</w:t>
      </w:r>
    </w:p>
    <w:p w14:paraId="13201E2D"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19.6</w:t>
      </w:r>
      <w:r>
        <w:rPr>
          <w:rFonts w:ascii="Times New Roman" w:hAnsi="Times New Roman"/>
          <w:sz w:val="22"/>
          <w:lang w:val="en-GB"/>
        </w:rPr>
        <w:tab/>
        <w:t>All tenders received after the deadline for submission specified in the contract notice or these instructions will be kept by the Project partner. The associated guarantees will be returned to the tenderers. No liability can be accepted for late delivery of tenders. Late tenders will be rejected and will not be evaluated.</w:t>
      </w:r>
    </w:p>
    <w:p w14:paraId="523261F0" w14:textId="77777777" w:rsidR="009A35ED" w:rsidRDefault="00000000">
      <w:pPr>
        <w:pStyle w:val="Naslov1"/>
        <w:numPr>
          <w:ilvl w:val="0"/>
          <w:numId w:val="2"/>
        </w:numPr>
      </w:pPr>
      <w:bookmarkStart w:id="31" w:name="_Toc42488089"/>
      <w:r>
        <w:t>Evaluation of tenders</w:t>
      </w:r>
      <w:bookmarkEnd w:id="31"/>
    </w:p>
    <w:p w14:paraId="71E419DD"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20.1</w:t>
      </w:r>
      <w:r>
        <w:rPr>
          <w:rFonts w:ascii="Times New Roman" w:hAnsi="Times New Roman"/>
          <w:sz w:val="22"/>
          <w:lang w:val="en-GB"/>
        </w:rPr>
        <w:tab/>
        <w:t>Examination of the administrative conformity of tenders</w:t>
      </w:r>
    </w:p>
    <w:p w14:paraId="56C11FC8" w14:textId="77777777" w:rsidR="009A35ED" w:rsidRDefault="00000000">
      <w:pPr>
        <w:ind w:left="567"/>
        <w:jc w:val="both"/>
        <w:outlineLvl w:val="0"/>
        <w:rPr>
          <w:rFonts w:ascii="Times New Roman" w:hAnsi="Times New Roman"/>
        </w:rPr>
      </w:pPr>
      <w:r>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49ED1618" w14:textId="77777777" w:rsidR="009A35ED" w:rsidRDefault="00000000">
      <w:pPr>
        <w:ind w:left="567"/>
        <w:jc w:val="both"/>
        <w:outlineLvl w:val="0"/>
        <w:rPr>
          <w:rFonts w:ascii="Times New Roman" w:hAnsi="Times New Roman"/>
        </w:rPr>
      </w:pPr>
      <w:r>
        <w:rPr>
          <w:rFonts w:ascii="Times New Roman" w:hAnsi="Times New Roman"/>
          <w:sz w:val="22"/>
        </w:rPr>
        <w:t>Substantial departures or restrictions are those which affect the scope, quality or execution of the contract, differ widely from the terms of the tender dossier, limit the rights of the Project partner or the tenderer’s obligations under the contract or distort competition for tenderers whose tenders do comply. Decisions to the effect that a tender is not administratively compliant must be duly justified in the evaluation minutes.</w:t>
      </w:r>
    </w:p>
    <w:p w14:paraId="277579C7" w14:textId="77777777" w:rsidR="009A35ED" w:rsidRDefault="00000000">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p>
    <w:p w14:paraId="60CD7FB6"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lastRenderedPageBreak/>
        <w:t>20.2</w:t>
      </w:r>
      <w:r>
        <w:rPr>
          <w:rFonts w:ascii="Times New Roman" w:hAnsi="Times New Roman"/>
          <w:sz w:val="22"/>
          <w:lang w:val="en-GB"/>
        </w:rPr>
        <w:tab/>
        <w:t>Technical evaluation</w:t>
      </w:r>
    </w:p>
    <w:p w14:paraId="46A960B4"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AEFAF55" w14:textId="77777777" w:rsidR="009A35ED" w:rsidRDefault="00000000">
      <w:pPr>
        <w:pStyle w:val="Naslov2"/>
        <w:keepNext w:val="0"/>
        <w:spacing w:before="0"/>
        <w:ind w:left="567"/>
        <w:jc w:val="both"/>
        <w:rPr>
          <w:rFonts w:ascii="Times New Roman" w:hAnsi="Times New Roman"/>
          <w:sz w:val="22"/>
          <w:szCs w:val="22"/>
          <w:lang w:val="en-GB"/>
        </w:rPr>
      </w:pPr>
      <w:r>
        <w:rPr>
          <w:rFonts w:ascii="Times New Roman" w:hAnsi="Times New Roman"/>
          <w:sz w:val="22"/>
          <w:szCs w:val="22"/>
          <w:lang w:val="en-GB"/>
        </w:rPr>
        <w:t>The minimum qualifications required (see selection criteria in Contract notice point 16) are to be evaluated at the start of this stage.</w:t>
      </w:r>
      <w:bookmarkStart w:id="32" w:name="_Ref500330647"/>
      <w:bookmarkEnd w:id="32"/>
    </w:p>
    <w:p w14:paraId="082636D6"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Where contracts include after-sales service and/or training, the technical quality of such services will also be evaluated by using yes/no criteria as specified in the tender dossier.</w:t>
      </w:r>
    </w:p>
    <w:p w14:paraId="3D125309" w14:textId="77777777" w:rsidR="009A35ED" w:rsidRDefault="00000000">
      <w:pPr>
        <w:pStyle w:val="Naslov2"/>
        <w:ind w:left="567" w:hanging="567"/>
        <w:jc w:val="both"/>
        <w:rPr>
          <w:rFonts w:ascii="Times New Roman" w:hAnsi="Times New Roman"/>
          <w:lang w:val="en-GB"/>
        </w:rPr>
      </w:pPr>
      <w:r>
        <w:rPr>
          <w:rFonts w:ascii="Times New Roman" w:hAnsi="Times New Roman"/>
          <w:sz w:val="22"/>
          <w:lang w:val="en-GB"/>
        </w:rPr>
        <w:t>20.3</w:t>
      </w:r>
      <w:r>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030848F4"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20.4</w:t>
      </w:r>
      <w:r>
        <w:rPr>
          <w:rFonts w:ascii="Times New Roman" w:hAnsi="Times New Roman"/>
          <w:sz w:val="22"/>
          <w:lang w:val="en-GB"/>
        </w:rPr>
        <w:tab/>
        <w:t>Financial evaluation</w:t>
      </w:r>
    </w:p>
    <w:p w14:paraId="6FE37375"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a)</w:t>
      </w:r>
      <w:r>
        <w:rPr>
          <w:rFonts w:ascii="Times New Roman" w:hAnsi="Times New Roman"/>
          <w:sz w:val="22"/>
        </w:rPr>
        <w:tab/>
        <w:t>Tenders found to be technically compliant will be checked for any arithmetical errors in computation and summation. Errors will be corrected by the evaluation committee as follows:</w:t>
      </w:r>
    </w:p>
    <w:p w14:paraId="03D13FE7"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 xml:space="preserve">where there is a discrepancy between amounts in figures and in words, the amount in words will be the amount taken into </w:t>
      </w:r>
      <w:proofErr w:type="gramStart"/>
      <w:r>
        <w:rPr>
          <w:rFonts w:ascii="Times New Roman" w:hAnsi="Times New Roman"/>
          <w:sz w:val="22"/>
        </w:rPr>
        <w:t>account;</w:t>
      </w:r>
      <w:proofErr w:type="gramEnd"/>
    </w:p>
    <w:p w14:paraId="0D8D36CB"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Pr>
          <w:rFonts w:ascii="Times New Roman" w:hAnsi="Times New Roman"/>
          <w:sz w:val="22"/>
        </w:rPr>
        <w:t>taken into account</w:t>
      </w:r>
      <w:proofErr w:type="gramEnd"/>
      <w:r>
        <w:rPr>
          <w:rFonts w:ascii="Times New Roman" w:hAnsi="Times New Roman"/>
          <w:sz w:val="22"/>
        </w:rPr>
        <w:t>.</w:t>
      </w:r>
    </w:p>
    <w:p w14:paraId="7D7BD439"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b)</w:t>
      </w:r>
      <w:r>
        <w:rPr>
          <w:rFonts w:ascii="Times New Roman" w:hAnsi="Times New Roman"/>
          <w:sz w:val="22"/>
        </w:rPr>
        <w:tab/>
        <w:t>Amounts corrected in this way will be binding on the tenderer. If the tenderer does not accept them, its tender will be rejected.</w:t>
      </w:r>
    </w:p>
    <w:p w14:paraId="12897DAE"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w:t>
      </w:r>
      <w:proofErr w:type="gramStart"/>
      <w:r>
        <w:rPr>
          <w:rFonts w:ascii="Times New Roman" w:hAnsi="Times New Roman"/>
          <w:sz w:val="22"/>
        </w:rPr>
        <w:t>take into account</w:t>
      </w:r>
      <w:proofErr w:type="gramEnd"/>
      <w:r>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Project partner will examine in detail all the information supplied by the tenderers and will formulate its judgment </w:t>
      </w:r>
      <w:proofErr w:type="gramStart"/>
      <w:r>
        <w:rPr>
          <w:rFonts w:ascii="Times New Roman" w:hAnsi="Times New Roman"/>
          <w:sz w:val="22"/>
        </w:rPr>
        <w:t>on the basis of</w:t>
      </w:r>
      <w:proofErr w:type="gramEnd"/>
      <w:r>
        <w:rPr>
          <w:rFonts w:ascii="Times New Roman" w:hAnsi="Times New Roman"/>
          <w:sz w:val="22"/>
        </w:rPr>
        <w:t xml:space="preserve"> the lowest total cost, including additional costs.</w:t>
      </w:r>
    </w:p>
    <w:p w14:paraId="3FA73023"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20.5</w:t>
      </w:r>
      <w:r>
        <w:rPr>
          <w:rFonts w:ascii="Times New Roman" w:hAnsi="Times New Roman"/>
          <w:sz w:val="22"/>
          <w:lang w:val="en-GB"/>
        </w:rPr>
        <w:tab/>
        <w:t>Variant solutions</w:t>
      </w:r>
    </w:p>
    <w:p w14:paraId="0BEE83D6" w14:textId="77777777" w:rsidR="009A35ED" w:rsidRDefault="00000000">
      <w:pPr>
        <w:ind w:left="567"/>
        <w:jc w:val="both"/>
        <w:rPr>
          <w:rFonts w:ascii="Times New Roman" w:hAnsi="Times New Roman"/>
          <w:sz w:val="22"/>
        </w:rPr>
      </w:pPr>
      <w:r>
        <w:rPr>
          <w:rFonts w:ascii="Times New Roman" w:hAnsi="Times New Roman"/>
          <w:sz w:val="22"/>
        </w:rPr>
        <w:t>Variant solutions will not be taken into consideration.</w:t>
      </w:r>
    </w:p>
    <w:p w14:paraId="58446967"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20.6</w:t>
      </w:r>
      <w:r>
        <w:rPr>
          <w:rFonts w:ascii="Times New Roman" w:hAnsi="Times New Roman"/>
          <w:sz w:val="22"/>
          <w:lang w:val="en-GB"/>
        </w:rPr>
        <w:tab/>
        <w:t>Award criteria</w:t>
      </w:r>
    </w:p>
    <w:p w14:paraId="538C8B41" w14:textId="77777777" w:rsidR="009A35ED" w:rsidRDefault="00000000">
      <w:pPr>
        <w:ind w:left="567" w:firstLine="11"/>
        <w:jc w:val="both"/>
        <w:outlineLvl w:val="0"/>
        <w:rPr>
          <w:rFonts w:ascii="Times New Roman" w:hAnsi="Times New Roman"/>
          <w:sz w:val="22"/>
        </w:rPr>
      </w:pPr>
      <w:r>
        <w:rPr>
          <w:rFonts w:ascii="Times New Roman" w:hAnsi="Times New Roman"/>
          <w:sz w:val="22"/>
        </w:rPr>
        <w:t xml:space="preserve">The sole award criterion will be the price. The contract will be awarded to the lowest compliant tender. </w:t>
      </w:r>
    </w:p>
    <w:p w14:paraId="51C71999" w14:textId="77777777" w:rsidR="009A35ED" w:rsidRDefault="00000000">
      <w:pPr>
        <w:pStyle w:val="Naslov1"/>
        <w:numPr>
          <w:ilvl w:val="0"/>
          <w:numId w:val="2"/>
        </w:numPr>
        <w:rPr>
          <w:lang w:val="en-GB"/>
        </w:rPr>
      </w:pPr>
      <w:r>
        <w:t xml:space="preserve">Notification </w:t>
      </w:r>
      <w:r>
        <w:rPr>
          <w:lang w:val="en-GB"/>
        </w:rPr>
        <w:t>of award</w:t>
      </w:r>
    </w:p>
    <w:p w14:paraId="5E2DEC61" w14:textId="77777777" w:rsidR="009A35ED" w:rsidRDefault="00000000">
      <w:pPr>
        <w:ind w:left="567"/>
        <w:jc w:val="both"/>
        <w:rPr>
          <w:rFonts w:ascii="Times New Roman" w:hAnsi="Times New Roman"/>
          <w:sz w:val="22"/>
          <w:szCs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2D2315D" w14:textId="77777777" w:rsidR="009A35ED" w:rsidRDefault="00000000">
      <w:pPr>
        <w:ind w:left="567"/>
        <w:jc w:val="both"/>
        <w:rPr>
          <w:rFonts w:ascii="Times New Roman" w:hAnsi="Times New Roman"/>
          <w:sz w:val="22"/>
          <w:szCs w:val="22"/>
        </w:rPr>
      </w:pPr>
      <w:r>
        <w:rPr>
          <w:rFonts w:ascii="Times New Roman" w:hAnsi="Times New Roman"/>
          <w:sz w:val="22"/>
          <w:szCs w:val="22"/>
        </w:rPr>
        <w:lastRenderedPageBreak/>
        <w:t>The contracting authority will inform all tenderers simultaneously and individually of the award decision. The tender guarantees of the unsuccessful tenderers will be released once the contract is signed.</w:t>
      </w:r>
    </w:p>
    <w:p w14:paraId="74BC7461" w14:textId="77777777" w:rsidR="009A35ED" w:rsidRDefault="00000000">
      <w:pPr>
        <w:pStyle w:val="Naslov1"/>
        <w:numPr>
          <w:ilvl w:val="0"/>
          <w:numId w:val="2"/>
        </w:numPr>
        <w:rPr>
          <w:lang w:val="en-GB"/>
        </w:rPr>
      </w:pPr>
      <w:r>
        <w:rPr>
          <w:lang w:val="en-GB"/>
        </w:rPr>
        <w:t>Signature of the contract and performance guarantee</w:t>
      </w:r>
    </w:p>
    <w:p w14:paraId="7CC9A4E5" w14:textId="77777777" w:rsidR="009A35ED" w:rsidRDefault="009A35ED">
      <w:pPr>
        <w:keepNext/>
        <w:numPr>
          <w:ilvl w:val="0"/>
          <w:numId w:val="6"/>
        </w:numPr>
        <w:jc w:val="both"/>
        <w:outlineLvl w:val="1"/>
        <w:rPr>
          <w:rFonts w:ascii="Times New Roman" w:hAnsi="Times New Roman"/>
          <w:vanish/>
          <w:sz w:val="22"/>
        </w:rPr>
      </w:pPr>
    </w:p>
    <w:p w14:paraId="5EC7E88A" w14:textId="77777777" w:rsidR="009A35ED" w:rsidRDefault="009A35ED">
      <w:pPr>
        <w:keepNext/>
        <w:numPr>
          <w:ilvl w:val="0"/>
          <w:numId w:val="6"/>
        </w:numPr>
        <w:jc w:val="both"/>
        <w:outlineLvl w:val="1"/>
        <w:rPr>
          <w:rFonts w:ascii="Times New Roman" w:hAnsi="Times New Roman"/>
          <w:vanish/>
          <w:sz w:val="22"/>
        </w:rPr>
      </w:pPr>
    </w:p>
    <w:p w14:paraId="3630E002"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Pr>
          <w:rFonts w:ascii="Times New Roman" w:hAnsi="Times New Roman"/>
          <w:b/>
          <w:sz w:val="22"/>
        </w:rPr>
        <w:t>documentary proof</w:t>
      </w:r>
      <w:r>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0C0E797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225630FB"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p>
    <w:p w14:paraId="5FA1DEDB" w14:textId="77777777" w:rsidR="009A35ED" w:rsidRDefault="00000000">
      <w:pPr>
        <w:ind w:left="567"/>
        <w:jc w:val="both"/>
        <w:rPr>
          <w:rFonts w:ascii="Times New Roman" w:hAnsi="Times New Roman"/>
          <w:sz w:val="22"/>
          <w:szCs w:val="22"/>
        </w:rPr>
      </w:pPr>
      <w:r>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5FEF50F2"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7B014880" w14:textId="77777777" w:rsidR="009A35ED" w:rsidRDefault="00000000">
      <w:pPr>
        <w:ind w:left="567"/>
        <w:jc w:val="both"/>
        <w:rPr>
          <w:rFonts w:ascii="Times New Roman" w:hAnsi="Times New Roman"/>
          <w:sz w:val="22"/>
          <w:szCs w:val="22"/>
        </w:rPr>
      </w:pPr>
      <w:r>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7B47489D" w14:textId="77777777" w:rsidR="009A35ED" w:rsidRDefault="00000000">
      <w:pPr>
        <w:ind w:left="567"/>
        <w:jc w:val="both"/>
        <w:rPr>
          <w:rFonts w:ascii="Times New Roman" w:hAnsi="Times New Roman"/>
          <w:color w:val="000000"/>
          <w:sz w:val="22"/>
          <w:szCs w:val="22"/>
        </w:rPr>
      </w:pPr>
      <w:r>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Pr>
          <w:rFonts w:ascii="Times New Roman" w:hAnsi="Times New Roman"/>
          <w:sz w:val="22"/>
          <w:szCs w:val="22"/>
        </w:rPr>
        <w:t xml:space="preserve"> further Section 2.6.11. of the Practical Guide).</w:t>
      </w:r>
      <w:r>
        <w:rPr>
          <w:rFonts w:ascii="Times New Roman" w:hAnsi="Times New Roman"/>
          <w:color w:val="000000"/>
          <w:sz w:val="22"/>
          <w:szCs w:val="22"/>
        </w:rPr>
        <w:t xml:space="preserve"> </w:t>
      </w:r>
    </w:p>
    <w:p w14:paraId="78B9A173" w14:textId="77777777" w:rsidR="009A35ED" w:rsidRDefault="00000000">
      <w:pPr>
        <w:ind w:left="567"/>
        <w:jc w:val="both"/>
        <w:rPr>
          <w:rFonts w:ascii="Times New Roman" w:hAnsi="Times New Roman"/>
          <w:sz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473A0B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22.4. The contracting authority reserves the right to vary quantities specified in the tender by +/- 100</w:t>
      </w:r>
      <w:r>
        <w:rPr>
          <w:rFonts w:ascii="Times New Roman" w:hAnsi="Times New Roman"/>
          <w:w w:val="50"/>
          <w:sz w:val="22"/>
        </w:rPr>
        <w:t> </w:t>
      </w:r>
      <w:r>
        <w:rPr>
          <w:rFonts w:ascii="Times New Roman" w:hAnsi="Times New Roman"/>
          <w:sz w:val="22"/>
        </w:rPr>
        <w:t xml:space="preserve">% at the time of contracting and during the validity of the contract. The total value of the supplies may not, </w:t>
      </w:r>
      <w:proofErr w:type="gramStart"/>
      <w:r>
        <w:rPr>
          <w:rFonts w:ascii="Times New Roman" w:hAnsi="Times New Roman"/>
          <w:sz w:val="22"/>
        </w:rPr>
        <w:t>as a result of</w:t>
      </w:r>
      <w:proofErr w:type="gramEnd"/>
      <w:r>
        <w:rPr>
          <w:rFonts w:ascii="Times New Roman" w:hAnsi="Times New Roman"/>
          <w:sz w:val="22"/>
        </w:rPr>
        <w:t xml:space="preserve"> the variation rise or fall by more than 25</w:t>
      </w:r>
      <w:r>
        <w:rPr>
          <w:rFonts w:ascii="Times New Roman" w:hAnsi="Times New Roman"/>
          <w:w w:val="50"/>
          <w:sz w:val="22"/>
        </w:rPr>
        <w:t> </w:t>
      </w:r>
      <w:r>
        <w:rPr>
          <w:rFonts w:ascii="Times New Roman" w:hAnsi="Times New Roman"/>
          <w:sz w:val="22"/>
        </w:rPr>
        <w:t xml:space="preserve">% of the original financial offer in the tender. The unit prices quoted in the tender shall be used. </w:t>
      </w:r>
    </w:p>
    <w:p w14:paraId="62E8F0D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22.5. Within 30 days of receipt of the contract signed by the contracting authority, the selected tenderer must sign and date the contract and return it, with the performance guarantee (if applicable), to the </w:t>
      </w:r>
      <w:r>
        <w:rPr>
          <w:rFonts w:ascii="Times New Roman" w:hAnsi="Times New Roman"/>
          <w:sz w:val="22"/>
        </w:rPr>
        <w:lastRenderedPageBreak/>
        <w:t xml:space="preserve">contracting authority. On signing the contract, the successful tenderer will become the </w:t>
      </w:r>
      <w:proofErr w:type="gramStart"/>
      <w:r>
        <w:rPr>
          <w:rFonts w:ascii="Times New Roman" w:hAnsi="Times New Roman"/>
          <w:sz w:val="22"/>
        </w:rPr>
        <w:t>contractor</w:t>
      </w:r>
      <w:proofErr w:type="gramEnd"/>
      <w:r>
        <w:rPr>
          <w:rFonts w:ascii="Times New Roman" w:hAnsi="Times New Roman"/>
          <w:sz w:val="22"/>
        </w:rPr>
        <w:t xml:space="preserve"> and the contract will enter into force.</w:t>
      </w:r>
    </w:p>
    <w:p w14:paraId="1D6BF43F"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22.6. 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5185D8B2" w14:textId="6C352A8B"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22.7. </w:t>
      </w:r>
      <w:r w:rsidR="00883DA5" w:rsidRPr="00883DA5">
        <w:rPr>
          <w:rFonts w:ascii="Times New Roman" w:hAnsi="Times New Roman"/>
          <w:sz w:val="22"/>
          <w:lang w:val="fr-BE"/>
        </w:rPr>
        <w:t>The performance guarantee is not required.</w:t>
      </w:r>
    </w:p>
    <w:p w14:paraId="16D70D44" w14:textId="77777777" w:rsidR="009A35ED" w:rsidRDefault="00000000">
      <w:pPr>
        <w:pStyle w:val="Naslov1"/>
        <w:numPr>
          <w:ilvl w:val="0"/>
          <w:numId w:val="2"/>
        </w:numPr>
        <w:rPr>
          <w:lang w:val="en-GB"/>
        </w:rPr>
      </w:pPr>
      <w:bookmarkStart w:id="33" w:name="_Toc42488091"/>
      <w:bookmarkStart w:id="34" w:name="_Toc41467299"/>
      <w:r>
        <w:rPr>
          <w:lang w:val="en-GB"/>
        </w:rPr>
        <w:t>Tender guarantee</w:t>
      </w:r>
      <w:bookmarkEnd w:id="33"/>
      <w:bookmarkEnd w:id="34"/>
    </w:p>
    <w:p w14:paraId="5324B30F" w14:textId="77777777" w:rsidR="009A35ED" w:rsidRDefault="00000000">
      <w:pPr>
        <w:jc w:val="both"/>
        <w:outlineLvl w:val="0"/>
        <w:rPr>
          <w:rFonts w:ascii="Times New Roman" w:hAnsi="Times New Roman"/>
          <w:sz w:val="22"/>
        </w:rPr>
      </w:pPr>
      <w:r>
        <w:rPr>
          <w:rFonts w:ascii="Times New Roman" w:hAnsi="Times New Roman"/>
          <w:sz w:val="22"/>
          <w:szCs w:val="22"/>
        </w:rPr>
        <w:t>No tender guarantee is required</w:t>
      </w:r>
      <w:r>
        <w:rPr>
          <w:rFonts w:ascii="Times New Roman" w:hAnsi="Times New Roman"/>
        </w:rPr>
        <w:t>.</w:t>
      </w:r>
    </w:p>
    <w:p w14:paraId="1941B411" w14:textId="47D27146" w:rsidR="009A35ED" w:rsidRDefault="00000000" w:rsidP="00730C4E">
      <w:pPr>
        <w:pStyle w:val="Naslov1"/>
        <w:numPr>
          <w:ilvl w:val="0"/>
          <w:numId w:val="2"/>
        </w:numPr>
      </w:pPr>
      <w:bookmarkStart w:id="35" w:name="_Toc42488092"/>
      <w:bookmarkStart w:id="36" w:name="_Toc41467300"/>
      <w:r>
        <w:t>Ethics clauses</w:t>
      </w:r>
      <w:bookmarkEnd w:id="35"/>
      <w:bookmarkEnd w:id="36"/>
    </w:p>
    <w:p w14:paraId="08A5B8B6" w14:textId="77777777" w:rsidR="009A35ED" w:rsidRDefault="00000000">
      <w:pPr>
        <w:rPr>
          <w:rFonts w:ascii="Times New Roman" w:hAnsi="Times New Roman"/>
          <w:sz w:val="22"/>
          <w:szCs w:val="22"/>
        </w:rPr>
      </w:pPr>
      <w:r>
        <w:rPr>
          <w:rFonts w:ascii="Times New Roman" w:hAnsi="Times New Roman"/>
          <w:sz w:val="22"/>
          <w:szCs w:val="22"/>
        </w:rPr>
        <w:t>24.1</w:t>
      </w:r>
      <w:r>
        <w:rPr>
          <w:rFonts w:ascii="Times New Roman" w:hAnsi="Times New Roman"/>
          <w:sz w:val="22"/>
          <w:szCs w:val="22"/>
        </w:rPr>
        <w:tab/>
        <w:t>Any attempt by a candidate or tenderer to obtain confidential information, enter into unlawful agreements with competitors or influence the committee or the Project partner during the process of examining, clarifying, evaluating and comparing tenders will lead to the rejection of their candidacy or tender and may result in administrative penalties.</w:t>
      </w:r>
    </w:p>
    <w:p w14:paraId="58ABCB00" w14:textId="77777777" w:rsidR="009A35ED" w:rsidRDefault="00000000">
      <w:pPr>
        <w:rPr>
          <w:rFonts w:ascii="Times New Roman" w:hAnsi="Times New Roman"/>
          <w:sz w:val="22"/>
          <w:szCs w:val="22"/>
        </w:rPr>
      </w:pPr>
      <w:r>
        <w:rPr>
          <w:rFonts w:ascii="Times New Roman" w:hAnsi="Times New Roman"/>
          <w:sz w:val="22"/>
          <w:szCs w:val="22"/>
        </w:rPr>
        <w:t>24.2</w:t>
      </w:r>
      <w:r>
        <w:rPr>
          <w:rFonts w:ascii="Times New Roman" w:hAnsi="Times New Roman"/>
          <w:sz w:val="22"/>
          <w:szCs w:val="22"/>
        </w:rPr>
        <w:tab/>
        <w:t>Without the Project partner’s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51979145" w14:textId="77777777" w:rsidR="009A35ED" w:rsidRDefault="00000000">
      <w:pPr>
        <w:rPr>
          <w:rFonts w:ascii="Times New Roman" w:hAnsi="Times New Roman"/>
          <w:sz w:val="22"/>
          <w:szCs w:val="22"/>
        </w:rPr>
      </w:pPr>
      <w:r>
        <w:rPr>
          <w:rFonts w:ascii="Times New Roman" w:hAnsi="Times New Roman"/>
          <w:sz w:val="22"/>
          <w:szCs w:val="22"/>
        </w:rPr>
        <w:t>24.3.</w:t>
      </w:r>
      <w:r>
        <w:rPr>
          <w:rFonts w:ascii="Times New Roman" w:hAnsi="Times New Roman"/>
          <w:sz w:val="22"/>
          <w:szCs w:val="22"/>
        </w:rPr>
        <w:tab/>
        <w:t>When submitting a tender, tenderers must declare that they are not affected by a conflict of interest and have no equivalent relation in that respect with other tenderers or parties involved in the project. Should such a situation arise during execution of the contract, the Contractor must immediately inform the Project partner.</w:t>
      </w:r>
    </w:p>
    <w:p w14:paraId="3EACEED7" w14:textId="77777777" w:rsidR="009A35ED" w:rsidRDefault="00000000">
      <w:pPr>
        <w:rPr>
          <w:rFonts w:ascii="Times New Roman" w:hAnsi="Times New Roman"/>
          <w:sz w:val="22"/>
          <w:szCs w:val="22"/>
        </w:rPr>
      </w:pPr>
      <w:r>
        <w:rPr>
          <w:rFonts w:ascii="Times New Roman" w:hAnsi="Times New Roman"/>
          <w:sz w:val="22"/>
          <w:szCs w:val="22"/>
        </w:rPr>
        <w:t>24.4</w:t>
      </w:r>
      <w:r>
        <w:rPr>
          <w:rFonts w:ascii="Times New Roman" w:hAnsi="Times New Roman"/>
          <w:sz w:val="22"/>
          <w:szCs w:val="22"/>
        </w:rPr>
        <w:tab/>
        <w:t xml:space="preserve">Contractors must </w:t>
      </w:r>
      <w:proofErr w:type="gramStart"/>
      <w:r>
        <w:rPr>
          <w:rFonts w:ascii="Times New Roman" w:hAnsi="Times New Roman"/>
          <w:sz w:val="22"/>
          <w:szCs w:val="22"/>
        </w:rPr>
        <w:t>at all times</w:t>
      </w:r>
      <w:proofErr w:type="gramEnd"/>
      <w:r>
        <w:rPr>
          <w:rFonts w:ascii="Times New Roman" w:hAnsi="Times New Roman"/>
          <w:sz w:val="22"/>
          <w:szCs w:val="22"/>
        </w:rPr>
        <w:t xml:space="preserve"> act impartially and as faithful advisers in accordance with the code of conduct of their profession. They will refrain from making public statements about the project or services without the Project partner’s prior approval. They may not commit the Project partner in any way without its prior written consent.</w:t>
      </w:r>
    </w:p>
    <w:p w14:paraId="0B5381BB" w14:textId="77777777" w:rsidR="009A35ED" w:rsidRDefault="00000000">
      <w:pPr>
        <w:rPr>
          <w:rFonts w:ascii="Times New Roman" w:hAnsi="Times New Roman"/>
          <w:sz w:val="22"/>
          <w:szCs w:val="22"/>
        </w:rPr>
      </w:pPr>
      <w:r>
        <w:rPr>
          <w:rFonts w:ascii="Times New Roman" w:hAnsi="Times New Roman"/>
          <w:sz w:val="22"/>
          <w:szCs w:val="22"/>
        </w:rPr>
        <w:t>24.5</w:t>
      </w:r>
      <w:r>
        <w:rPr>
          <w:rFonts w:ascii="Times New Roman" w:hAnsi="Times New Roman"/>
          <w:sz w:val="22"/>
          <w:szCs w:val="22"/>
        </w:rPr>
        <w:tab/>
        <w:t xml:space="preserve">For the duration of the contracts Contractors and their staff must respect human rights and undertake not to offend the political, cultural and religious mores of the beneficiary state. </w:t>
      </w:r>
      <w:proofErr w:type="gramStart"/>
      <w:r>
        <w:rPr>
          <w:rFonts w:ascii="Times New Roman" w:hAnsi="Times New Roman"/>
          <w:sz w:val="22"/>
          <w:szCs w:val="22"/>
        </w:rPr>
        <w:t>In particular and</w:t>
      </w:r>
      <w:proofErr w:type="gramEnd"/>
      <w:r>
        <w:rPr>
          <w:rFonts w:ascii="Times New Roman" w:hAnsi="Times New Roman"/>
          <w:sz w:val="22"/>
          <w:szCs w:val="22"/>
        </w:rPr>
        <w:t xml:space="preserve"> in accordance with the legal basic act concerned, tenderers that have been awarded contracts must abide by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DA48B53" w14:textId="77777777" w:rsidR="009A35ED" w:rsidRDefault="00000000">
      <w:pPr>
        <w:rPr>
          <w:rFonts w:ascii="Times New Roman" w:hAnsi="Times New Roman"/>
          <w:sz w:val="22"/>
          <w:szCs w:val="22"/>
        </w:rPr>
      </w:pPr>
      <w:r>
        <w:rPr>
          <w:rFonts w:ascii="Times New Roman" w:hAnsi="Times New Roman"/>
          <w:sz w:val="22"/>
          <w:szCs w:val="22"/>
        </w:rPr>
        <w:t>24.6</w:t>
      </w:r>
      <w:r>
        <w:rPr>
          <w:rFonts w:ascii="Times New Roman" w:hAnsi="Times New Roman"/>
          <w:sz w:val="22"/>
          <w:szCs w:val="22"/>
        </w:rPr>
        <w:tab/>
        <w:t>Contractors may accept no payment connected with the contracts other than that provided for therein. Contractors and their staff must not exercise any activity nor receive any advantage inconsistent with their obligations to the Project partner.</w:t>
      </w:r>
    </w:p>
    <w:p w14:paraId="4C819EF5" w14:textId="77777777" w:rsidR="009A35ED" w:rsidRDefault="00000000">
      <w:pPr>
        <w:rPr>
          <w:rFonts w:ascii="Times New Roman" w:hAnsi="Times New Roman"/>
          <w:sz w:val="22"/>
          <w:szCs w:val="22"/>
        </w:rPr>
      </w:pPr>
      <w:r>
        <w:rPr>
          <w:rFonts w:ascii="Times New Roman" w:hAnsi="Times New Roman"/>
          <w:sz w:val="22"/>
          <w:szCs w:val="22"/>
        </w:rPr>
        <w:t>24.7</w:t>
      </w:r>
      <w:r>
        <w:rPr>
          <w:rFonts w:ascii="Times New Roman" w:hAnsi="Times New Roman"/>
          <w:sz w:val="22"/>
          <w:szCs w:val="22"/>
        </w:rPr>
        <w:tab/>
        <w:t>Contractors and their staff are obliged to maintain professional secrecy for the entire duration of contracts and after their completion. All reports and documents drawn up or received by Contractors will be confidential.</w:t>
      </w:r>
    </w:p>
    <w:p w14:paraId="23BBF280" w14:textId="77777777" w:rsidR="009A35ED" w:rsidRDefault="00000000">
      <w:pPr>
        <w:rPr>
          <w:rFonts w:ascii="Times New Roman" w:hAnsi="Times New Roman"/>
          <w:sz w:val="22"/>
          <w:szCs w:val="22"/>
        </w:rPr>
      </w:pPr>
      <w:r>
        <w:rPr>
          <w:rFonts w:ascii="Times New Roman" w:hAnsi="Times New Roman"/>
          <w:sz w:val="22"/>
          <w:szCs w:val="22"/>
        </w:rPr>
        <w:t>24.8</w:t>
      </w:r>
      <w:r>
        <w:rPr>
          <w:rFonts w:ascii="Times New Roman" w:hAnsi="Times New Roman"/>
          <w:sz w:val="22"/>
          <w:szCs w:val="22"/>
        </w:rPr>
        <w:tab/>
        <w:t>The contract governs the Contracting Parties’ use of all reports and documents drawn up, received or presented by them during the implementation of the contract.</w:t>
      </w:r>
    </w:p>
    <w:p w14:paraId="7C52D5A3" w14:textId="77777777" w:rsidR="009A35ED" w:rsidRDefault="00000000">
      <w:pPr>
        <w:rPr>
          <w:rFonts w:ascii="Times New Roman" w:hAnsi="Times New Roman"/>
          <w:sz w:val="22"/>
          <w:szCs w:val="22"/>
        </w:rPr>
      </w:pPr>
      <w:r>
        <w:rPr>
          <w:rFonts w:ascii="Times New Roman" w:hAnsi="Times New Roman"/>
          <w:sz w:val="22"/>
          <w:szCs w:val="22"/>
        </w:rPr>
        <w:lastRenderedPageBreak/>
        <w:t>24.9</w:t>
      </w:r>
      <w:r>
        <w:rPr>
          <w:rFonts w:ascii="Times New Roman" w:hAnsi="Times New Roman"/>
          <w:sz w:val="22"/>
          <w:szCs w:val="22"/>
        </w:rPr>
        <w:tab/>
        <w:t>Contractors must refrain from any relationship likely to compromise their independence or that of their staff. If the Contractor ceases to be independent, the Project partner may, regardless of injury, terminate the contract without further notice and without the Contractor having any claim to compensation.</w:t>
      </w:r>
    </w:p>
    <w:p w14:paraId="10DAD6D0" w14:textId="77777777" w:rsidR="009A35ED" w:rsidRDefault="00000000">
      <w:pPr>
        <w:rPr>
          <w:rFonts w:ascii="Times New Roman" w:hAnsi="Times New Roman"/>
          <w:sz w:val="22"/>
          <w:szCs w:val="22"/>
        </w:rPr>
      </w:pPr>
      <w:r>
        <w:rPr>
          <w:rFonts w:ascii="Times New Roman" w:hAnsi="Times New Roman"/>
          <w:sz w:val="22"/>
          <w:szCs w:val="22"/>
        </w:rPr>
        <w:t>24.10</w:t>
      </w:r>
      <w:r>
        <w:rPr>
          <w:rFonts w:ascii="Times New Roman" w:hAnsi="Times New Roman"/>
          <w:sz w:val="22"/>
          <w:szCs w:val="22"/>
        </w:rPr>
        <w:tab/>
        <w:t>The Project partner reserves the right to suspend or cancel project financing if corrupt practices of any kind are discovered at any stage of the award process and if the Project partner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Project partner.</w:t>
      </w:r>
    </w:p>
    <w:p w14:paraId="366FA222" w14:textId="77777777" w:rsidR="009A35ED" w:rsidRDefault="00000000">
      <w:pPr>
        <w:rPr>
          <w:rFonts w:ascii="Times New Roman" w:hAnsi="Times New Roman"/>
          <w:sz w:val="22"/>
          <w:szCs w:val="22"/>
        </w:rPr>
      </w:pPr>
      <w:r>
        <w:rPr>
          <w:rFonts w:ascii="Times New Roman" w:hAnsi="Times New Roman"/>
          <w:sz w:val="22"/>
          <w:szCs w:val="22"/>
        </w:rPr>
        <w:t>24.11</w:t>
      </w:r>
      <w:r>
        <w:rPr>
          <w:rFonts w:ascii="Times New Roman" w:hAnsi="Times New Roman"/>
          <w:sz w:val="22"/>
          <w:szCs w:val="22"/>
        </w:rPr>
        <w:tab/>
        <w:t>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any appearance of being a front company.</w:t>
      </w:r>
    </w:p>
    <w:p w14:paraId="73ABD182" w14:textId="77777777" w:rsidR="009A35ED" w:rsidRDefault="00000000">
      <w:pPr>
        <w:rPr>
          <w:rFonts w:ascii="Times New Roman" w:hAnsi="Times New Roman"/>
          <w:sz w:val="22"/>
          <w:szCs w:val="22"/>
        </w:rPr>
      </w:pPr>
      <w:r>
        <w:rPr>
          <w:rFonts w:ascii="Times New Roman" w:hAnsi="Times New Roman"/>
          <w:sz w:val="22"/>
          <w:szCs w:val="22"/>
        </w:rPr>
        <w:t>24.12</w:t>
      </w:r>
      <w:r>
        <w:rPr>
          <w:rFonts w:ascii="Times New Roman" w:hAnsi="Times New Roman"/>
          <w:sz w:val="22"/>
          <w:szCs w:val="22"/>
        </w:rPr>
        <w:tab/>
        <w:t>Contractors found to have paid unusual commercial expenses on projects funded by the EU are liable, depending on the seriousness of the facts observed, to have their contracts terminated or to be permanently excluded from receiving EU funds.</w:t>
      </w:r>
    </w:p>
    <w:p w14:paraId="21915C4B" w14:textId="77777777" w:rsidR="009A35ED" w:rsidRDefault="00000000">
      <w:pPr>
        <w:rPr>
          <w:rFonts w:ascii="Times New Roman" w:hAnsi="Times New Roman"/>
          <w:sz w:val="22"/>
          <w:szCs w:val="22"/>
        </w:rPr>
      </w:pPr>
      <w:r>
        <w:rPr>
          <w:rFonts w:ascii="Times New Roman" w:hAnsi="Times New Roman"/>
          <w:sz w:val="22"/>
          <w:szCs w:val="22"/>
        </w:rPr>
        <w:t>24.13</w:t>
      </w:r>
      <w:r>
        <w:rPr>
          <w:rFonts w:ascii="Times New Roman" w:hAnsi="Times New Roman"/>
          <w:sz w:val="22"/>
          <w:szCs w:val="22"/>
        </w:rPr>
        <w:tab/>
        <w:t>The Project partner reserves the right to suspend or cancel the procedure, if the award procedure proves to have been subject to substantial errors, irregularities or fraud. Where such substantial errors, irregularities or fraud are discovered after the award of the Contract, the Project partner may refrain from concluding the Contract.</w:t>
      </w:r>
    </w:p>
    <w:p w14:paraId="608E6AA8" w14:textId="77777777" w:rsidR="009A35ED" w:rsidRDefault="009A35ED" w:rsidP="00730C4E">
      <w:pPr>
        <w:pStyle w:val="Naslov1"/>
        <w:numPr>
          <w:ilvl w:val="0"/>
          <w:numId w:val="0"/>
        </w:numPr>
        <w:ind w:left="567"/>
        <w:rPr>
          <w:lang w:val="en-GB"/>
        </w:rPr>
      </w:pPr>
    </w:p>
    <w:p w14:paraId="529E9ED3" w14:textId="77777777" w:rsidR="009A35ED" w:rsidRDefault="00000000">
      <w:pPr>
        <w:pStyle w:val="Naslov1"/>
        <w:numPr>
          <w:ilvl w:val="0"/>
          <w:numId w:val="2"/>
        </w:numPr>
        <w:rPr>
          <w:lang w:val="en-GB"/>
        </w:rPr>
      </w:pPr>
      <w:bookmarkStart w:id="37" w:name="_Toc42488093"/>
      <w:r>
        <w:rPr>
          <w:lang w:val="en-GB"/>
        </w:rPr>
        <w:t>Cancellation of the tender procedure</w:t>
      </w:r>
      <w:bookmarkEnd w:id="37"/>
    </w:p>
    <w:p w14:paraId="2A3FDECB" w14:textId="77777777" w:rsidR="009A35ED" w:rsidRDefault="00000000">
      <w:pPr>
        <w:pStyle w:val="Tijeloteksta"/>
        <w:ind w:left="567"/>
        <w:jc w:val="both"/>
        <w:rPr>
          <w:rFonts w:ascii="Times New Roman" w:hAnsi="Times New Roman"/>
        </w:rPr>
      </w:pPr>
      <w:r>
        <w:rPr>
          <w:rFonts w:ascii="Times New Roman" w:hAnsi="Times New Roman"/>
          <w:sz w:val="22"/>
        </w:rPr>
        <w:t>If a tender procedure is cancelled, tenderers will be notified by the Contracting authority -Project partner. If the tender procedure is cancelled before the tender opening session the sealed envelopes will be returned, unopened, to the tenderers.</w:t>
      </w:r>
    </w:p>
    <w:p w14:paraId="6F52D8ED" w14:textId="77777777" w:rsidR="009A35ED" w:rsidRDefault="00000000">
      <w:pPr>
        <w:pStyle w:val="Tijeloteksta"/>
        <w:spacing w:after="0"/>
        <w:ind w:left="567"/>
        <w:jc w:val="both"/>
        <w:rPr>
          <w:rFonts w:ascii="Times New Roman" w:hAnsi="Times New Roman"/>
          <w:sz w:val="22"/>
        </w:rPr>
      </w:pPr>
      <w:r>
        <w:rPr>
          <w:rFonts w:ascii="Times New Roman" w:hAnsi="Times New Roman"/>
          <w:sz w:val="22"/>
        </w:rPr>
        <w:t>Cancellation may occur, for example, if:</w:t>
      </w:r>
    </w:p>
    <w:p w14:paraId="5858EB5D" w14:textId="77777777" w:rsidR="009A35ED" w:rsidRDefault="00000000">
      <w:pPr>
        <w:pStyle w:val="Uvuenotijeloteksta"/>
        <w:numPr>
          <w:ilvl w:val="0"/>
          <w:numId w:val="5"/>
        </w:numPr>
        <w:tabs>
          <w:tab w:val="left" w:pos="1134"/>
        </w:tabs>
        <w:spacing w:before="120"/>
        <w:ind w:left="1134"/>
        <w:rPr>
          <w:sz w:val="22"/>
        </w:rPr>
      </w:pPr>
      <w:r>
        <w:rPr>
          <w:sz w:val="22"/>
        </w:rPr>
        <w:t xml:space="preserve">the tender procedure has been unsuccessful, namely where no </w:t>
      </w:r>
      <w:r>
        <w:rPr>
          <w:sz w:val="22"/>
          <w:szCs w:val="22"/>
        </w:rPr>
        <w:t>suitable,</w:t>
      </w:r>
      <w:r>
        <w:rPr>
          <w:sz w:val="22"/>
        </w:rPr>
        <w:t xml:space="preserve"> qualitatively or financially </w:t>
      </w:r>
      <w:r>
        <w:rPr>
          <w:sz w:val="22"/>
          <w:szCs w:val="22"/>
        </w:rPr>
        <w:t>acceptable</w:t>
      </w:r>
      <w:r>
        <w:rPr>
          <w:sz w:val="22"/>
        </w:rPr>
        <w:t xml:space="preserve"> tender has been received or there has been no valid response at </w:t>
      </w:r>
      <w:proofErr w:type="gramStart"/>
      <w:r>
        <w:rPr>
          <w:sz w:val="22"/>
        </w:rPr>
        <w:t>all;</w:t>
      </w:r>
      <w:proofErr w:type="gramEnd"/>
    </w:p>
    <w:p w14:paraId="664A44F2" w14:textId="77777777" w:rsidR="009A35ED" w:rsidRDefault="00000000">
      <w:pPr>
        <w:pStyle w:val="Uvuenotijeloteksta"/>
        <w:numPr>
          <w:ilvl w:val="0"/>
          <w:numId w:val="5"/>
        </w:numPr>
        <w:tabs>
          <w:tab w:val="left" w:pos="1134"/>
        </w:tabs>
        <w:spacing w:before="120"/>
        <w:ind w:left="1134"/>
        <w:rPr>
          <w:sz w:val="22"/>
        </w:rPr>
      </w:pPr>
      <w:r>
        <w:rPr>
          <w:sz w:val="22"/>
        </w:rPr>
        <w:t xml:space="preserve">the economic or technical parameters of the project have changed </w:t>
      </w:r>
      <w:proofErr w:type="gramStart"/>
      <w:r>
        <w:rPr>
          <w:sz w:val="22"/>
        </w:rPr>
        <w:t>fundamentally;</w:t>
      </w:r>
      <w:proofErr w:type="gramEnd"/>
    </w:p>
    <w:p w14:paraId="4A43E2E9" w14:textId="77777777" w:rsidR="009A35ED" w:rsidRDefault="00000000">
      <w:pPr>
        <w:pStyle w:val="Uvuenotijeloteksta"/>
        <w:numPr>
          <w:ilvl w:val="0"/>
          <w:numId w:val="5"/>
        </w:numPr>
        <w:tabs>
          <w:tab w:val="left" w:pos="1134"/>
        </w:tabs>
        <w:spacing w:before="120"/>
        <w:ind w:left="1134"/>
        <w:rPr>
          <w:sz w:val="22"/>
        </w:rPr>
      </w:pPr>
      <w:r>
        <w:rPr>
          <w:sz w:val="22"/>
        </w:rPr>
        <w:t xml:space="preserve">exceptional circumstances or </w:t>
      </w:r>
      <w:r>
        <w:rPr>
          <w:i/>
          <w:sz w:val="22"/>
        </w:rPr>
        <w:t>force majeure</w:t>
      </w:r>
      <w:r>
        <w:rPr>
          <w:sz w:val="22"/>
        </w:rPr>
        <w:t xml:space="preserve"> render normal implementation of the project </w:t>
      </w:r>
      <w:proofErr w:type="gramStart"/>
      <w:r>
        <w:rPr>
          <w:sz w:val="22"/>
        </w:rPr>
        <w:t>impossible;</w:t>
      </w:r>
      <w:proofErr w:type="gramEnd"/>
    </w:p>
    <w:p w14:paraId="2964ED2C" w14:textId="77777777" w:rsidR="009A35ED" w:rsidRDefault="00000000">
      <w:pPr>
        <w:pStyle w:val="Uvuenotijeloteksta"/>
        <w:numPr>
          <w:ilvl w:val="0"/>
          <w:numId w:val="5"/>
        </w:numPr>
        <w:tabs>
          <w:tab w:val="left" w:pos="1134"/>
        </w:tabs>
        <w:spacing w:before="120"/>
        <w:ind w:left="1134"/>
        <w:rPr>
          <w:sz w:val="22"/>
        </w:rPr>
      </w:pPr>
      <w:r>
        <w:rPr>
          <w:sz w:val="22"/>
        </w:rPr>
        <w:t xml:space="preserve">all technically </w:t>
      </w:r>
      <w:r>
        <w:rPr>
          <w:sz w:val="22"/>
          <w:szCs w:val="22"/>
        </w:rPr>
        <w:t>acceptable</w:t>
      </w:r>
      <w:r>
        <w:rPr>
          <w:sz w:val="22"/>
        </w:rPr>
        <w:t xml:space="preserve"> tenders exceed the financial resources </w:t>
      </w:r>
      <w:proofErr w:type="gramStart"/>
      <w:r>
        <w:rPr>
          <w:sz w:val="22"/>
        </w:rPr>
        <w:t>available;</w:t>
      </w:r>
      <w:proofErr w:type="gramEnd"/>
    </w:p>
    <w:p w14:paraId="1FEB7360" w14:textId="77777777" w:rsidR="009A35ED" w:rsidRDefault="00000000">
      <w:pPr>
        <w:pStyle w:val="Uvuenotijeloteksta"/>
        <w:numPr>
          <w:ilvl w:val="0"/>
          <w:numId w:val="5"/>
        </w:numPr>
        <w:tabs>
          <w:tab w:val="left" w:pos="1134"/>
        </w:tabs>
        <w:spacing w:before="120" w:after="120"/>
        <w:ind w:left="1134"/>
        <w:rPr>
          <w:sz w:val="22"/>
        </w:rPr>
      </w:pPr>
      <w:r>
        <w:rPr>
          <w:sz w:val="22"/>
        </w:rPr>
        <w:t xml:space="preserve">there have been </w:t>
      </w:r>
      <w:r>
        <w:rPr>
          <w:sz w:val="22"/>
          <w:szCs w:val="22"/>
        </w:rPr>
        <w:t xml:space="preserve">substantial errors, </w:t>
      </w:r>
      <w:r>
        <w:rPr>
          <w:sz w:val="22"/>
        </w:rPr>
        <w:t xml:space="preserve">irregularities </w:t>
      </w:r>
      <w:r>
        <w:rPr>
          <w:sz w:val="22"/>
          <w:szCs w:val="22"/>
        </w:rPr>
        <w:t xml:space="preserve">or frauds </w:t>
      </w:r>
      <w:r>
        <w:rPr>
          <w:sz w:val="22"/>
        </w:rPr>
        <w:t xml:space="preserve">in the procedure, in particular where these have prevented fair </w:t>
      </w:r>
      <w:proofErr w:type="gramStart"/>
      <w:r>
        <w:rPr>
          <w:sz w:val="22"/>
        </w:rPr>
        <w:t>competition;</w:t>
      </w:r>
      <w:proofErr w:type="gramEnd"/>
    </w:p>
    <w:p w14:paraId="26B5DACE" w14:textId="77777777" w:rsidR="009A35ED" w:rsidRDefault="00000000">
      <w:pPr>
        <w:pStyle w:val="Uvuenotijeloteksta"/>
        <w:numPr>
          <w:ilvl w:val="0"/>
          <w:numId w:val="5"/>
        </w:numPr>
        <w:tabs>
          <w:tab w:val="left" w:pos="1134"/>
        </w:tabs>
        <w:spacing w:before="120" w:after="120"/>
        <w:ind w:left="1134"/>
        <w:rPr>
          <w:sz w:val="22"/>
          <w:szCs w:val="22"/>
        </w:rPr>
      </w:pPr>
      <w:r>
        <w:rPr>
          <w:sz w:val="22"/>
          <w:szCs w:val="22"/>
          <w:lang w:eastAsia="en-GB"/>
        </w:rPr>
        <w:t xml:space="preserve">the award is not in compliance with sound financial management, </w:t>
      </w:r>
      <w:r>
        <w:rPr>
          <w:sz w:val="22"/>
          <w:szCs w:val="22"/>
        </w:rPr>
        <w:t xml:space="preserve">i.e. does not respect the principles of economy, efficiency and effectiveness (e.g. the price proposed by the tenderer to whom the contract is to be awarded is objectively disproportionate </w:t>
      </w:r>
      <w:proofErr w:type="gramStart"/>
      <w:r>
        <w:rPr>
          <w:sz w:val="22"/>
          <w:szCs w:val="22"/>
        </w:rPr>
        <w:t>with regard to</w:t>
      </w:r>
      <w:proofErr w:type="gramEnd"/>
      <w:r>
        <w:rPr>
          <w:sz w:val="22"/>
          <w:szCs w:val="22"/>
        </w:rPr>
        <w:t xml:space="preserve"> the price of the market</w:t>
      </w:r>
      <w:r>
        <w:rPr>
          <w:sz w:val="22"/>
          <w:szCs w:val="22"/>
          <w:lang w:eastAsia="en-GB"/>
        </w:rPr>
        <w:t>.</w:t>
      </w:r>
    </w:p>
    <w:p w14:paraId="2997DBC4" w14:textId="77777777" w:rsidR="009A35ED" w:rsidRDefault="00000000">
      <w:pPr>
        <w:pStyle w:val="Tijeloteksta2"/>
        <w:spacing w:before="120" w:after="120"/>
        <w:ind w:left="567"/>
        <w:rPr>
          <w:b/>
          <w:sz w:val="22"/>
          <w:szCs w:val="22"/>
        </w:rPr>
      </w:pPr>
      <w:r>
        <w:rPr>
          <w:b/>
          <w:sz w:val="22"/>
          <w:szCs w:val="22"/>
        </w:rPr>
        <w:lastRenderedPageBreak/>
        <w:t>In no event will the Project partner be liable for any damages whatsoever including, without limitation, damages for loss of profits, in any way connected with the cancellation of a tender procedure even if the Contracting authority - Project partner has been advised of the possibility of damages. The publication of a contract notice does not commit the Project partner to implement the programme or project announced.</w:t>
      </w:r>
    </w:p>
    <w:p w14:paraId="41D6BA41" w14:textId="77777777" w:rsidR="009A35ED" w:rsidRDefault="00000000">
      <w:pPr>
        <w:pStyle w:val="Naslov1"/>
        <w:numPr>
          <w:ilvl w:val="0"/>
          <w:numId w:val="2"/>
        </w:numPr>
      </w:pPr>
      <w:r>
        <w:t>Appeals</w:t>
      </w:r>
    </w:p>
    <w:p w14:paraId="65B43776" w14:textId="77777777" w:rsidR="009A35ED" w:rsidRDefault="00000000">
      <w:pPr>
        <w:pStyle w:val="Tijeloteksta2"/>
        <w:tabs>
          <w:tab w:val="clear" w:pos="567"/>
        </w:tabs>
        <w:spacing w:after="120"/>
        <w:ind w:left="567"/>
        <w:rPr>
          <w:sz w:val="22"/>
          <w:szCs w:val="22"/>
        </w:rPr>
      </w:pPr>
      <w:r>
        <w:rPr>
          <w:sz w:val="22"/>
          <w:szCs w:val="22"/>
        </w:rPr>
        <w:t>Tenderers believing that they have been harmed by an error or irregularity during the award process may file a complaint. Complaints are sent to the Contracting Authority, at the address set out in point 10.1 of this document.</w:t>
      </w:r>
    </w:p>
    <w:p w14:paraId="4DC0A0A1" w14:textId="77777777" w:rsidR="009A35ED" w:rsidRDefault="00000000">
      <w:pPr>
        <w:pStyle w:val="Naslov1"/>
        <w:numPr>
          <w:ilvl w:val="0"/>
          <w:numId w:val="2"/>
        </w:numPr>
      </w:pPr>
      <w:r>
        <w:t>Data Protection</w:t>
      </w:r>
    </w:p>
    <w:p w14:paraId="71DF1681" w14:textId="77777777" w:rsidR="009A35ED" w:rsidRDefault="00000000">
      <w:pPr>
        <w:pStyle w:val="Tijeloteksta2"/>
        <w:tabs>
          <w:tab w:val="clear" w:pos="567"/>
        </w:tabs>
        <w:spacing w:after="120"/>
        <w:ind w:left="567"/>
        <w:rPr>
          <w:sz w:val="22"/>
          <w:szCs w:val="22"/>
        </w:rPr>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66F40C9" w14:textId="77777777" w:rsidR="009A35ED" w:rsidRDefault="00000000">
      <w:pPr>
        <w:pStyle w:val="Tijeloteksta2"/>
        <w:tabs>
          <w:tab w:val="clear" w:pos="567"/>
        </w:tabs>
        <w:spacing w:after="120"/>
        <w:ind w:left="567"/>
        <w:rPr>
          <w:sz w:val="22"/>
          <w:szCs w:val="22"/>
        </w:rPr>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4515247A" w14:textId="77777777" w:rsidR="009A35ED" w:rsidRDefault="00000000">
      <w:pPr>
        <w:pStyle w:val="Tijeloteksta2"/>
        <w:ind w:left="567"/>
        <w:rPr>
          <w:sz w:val="22"/>
          <w:szCs w:val="22"/>
        </w:rPr>
      </w:pPr>
      <w:r>
        <w:rPr>
          <w:sz w:val="22"/>
          <w:szCs w:val="22"/>
        </w:rPr>
        <w:t>Details concerning processing of your personal data by the Commission are available on the privacy statement at:</w:t>
      </w:r>
    </w:p>
    <w:p w14:paraId="572544C5" w14:textId="77777777" w:rsidR="009A35ED" w:rsidRDefault="009A35ED">
      <w:pPr>
        <w:pStyle w:val="Tijeloteksta2"/>
        <w:tabs>
          <w:tab w:val="clear" w:pos="567"/>
        </w:tabs>
        <w:spacing w:after="120"/>
        <w:ind w:left="567"/>
        <w:rPr>
          <w:sz w:val="22"/>
          <w:szCs w:val="22"/>
        </w:rPr>
      </w:pPr>
      <w:hyperlink r:id="rId16" w:anchor="Annexes-AnnexesA(Ch.2):General" w:history="1">
        <w:r>
          <w:rPr>
            <w:rStyle w:val="Hiperveza"/>
            <w:sz w:val="22"/>
            <w:szCs w:val="22"/>
          </w:rPr>
          <w:t>https://wikis.ec.europa.eu/display/ExactExternalWiki/Annexes#Annexes-AnnexesA(Ch.2):General</w:t>
        </w:r>
      </w:hyperlink>
      <w:r>
        <w:rPr>
          <w:sz w:val="22"/>
          <w:szCs w:val="22"/>
        </w:rPr>
        <w:t xml:space="preserve"> </w:t>
      </w:r>
    </w:p>
    <w:p w14:paraId="4BCC1B59" w14:textId="77777777" w:rsidR="009A35ED" w:rsidRDefault="009A35ED">
      <w:pPr>
        <w:rPr>
          <w:lang w:val="fr-BE"/>
        </w:rPr>
      </w:pPr>
    </w:p>
    <w:sectPr w:rsidR="009A35ED">
      <w:headerReference w:type="default" r:id="rId17"/>
      <w:type w:val="continuous"/>
      <w:pgSz w:w="11906" w:h="16838"/>
      <w:pgMar w:top="777" w:right="1418" w:bottom="1134" w:left="1134" w:header="72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6FD7F" w14:textId="77777777" w:rsidR="00B55B2A" w:rsidRDefault="00B55B2A">
      <w:pPr>
        <w:spacing w:before="0" w:after="0"/>
      </w:pPr>
      <w:r>
        <w:separator/>
      </w:r>
    </w:p>
  </w:endnote>
  <w:endnote w:type="continuationSeparator" w:id="0">
    <w:p w14:paraId="3E3C5EE1" w14:textId="77777777" w:rsidR="00B55B2A" w:rsidRDefault="00B55B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730B0" w14:textId="77777777" w:rsidR="00757323" w:rsidRDefault="0075732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99A09" w14:textId="77777777" w:rsidR="00757323" w:rsidRDefault="00757323">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5C696" w14:textId="77777777" w:rsidR="00757323" w:rsidRDefault="0075732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0C171" w14:textId="77777777" w:rsidR="00B55B2A" w:rsidRDefault="00B55B2A">
      <w:pPr>
        <w:rPr>
          <w:sz w:val="12"/>
        </w:rPr>
      </w:pPr>
      <w:r>
        <w:separator/>
      </w:r>
    </w:p>
  </w:footnote>
  <w:footnote w:type="continuationSeparator" w:id="0">
    <w:p w14:paraId="33D154DF" w14:textId="77777777" w:rsidR="00B55B2A" w:rsidRDefault="00B55B2A">
      <w:pPr>
        <w:rPr>
          <w:sz w:val="12"/>
        </w:rPr>
      </w:pPr>
      <w:r>
        <w:continuationSeparator/>
      </w:r>
    </w:p>
  </w:footnote>
  <w:footnote w:id="1">
    <w:p w14:paraId="3B988B39" w14:textId="77777777" w:rsidR="009A35ED" w:rsidRDefault="00000000">
      <w:pPr>
        <w:pStyle w:val="Tekstfusnote"/>
        <w:ind w:left="284" w:hanging="284"/>
        <w:rPr>
          <w:rFonts w:ascii="Times New Roman" w:hAnsi="Times New Roman"/>
          <w:lang w:val="en-GB"/>
        </w:rPr>
      </w:pPr>
      <w:r>
        <w:rPr>
          <w:rStyle w:val="FootnoteCharacters"/>
        </w:rPr>
        <w:footnoteRef/>
      </w:r>
      <w:r>
        <w:rPr>
          <w:rFonts w:ascii="Times New Roman" w:hAnsi="Times New Roman"/>
          <w:lang w:val="en-GB"/>
        </w:rPr>
        <w:tab/>
        <w:t xml:space="preserve">     DDP (Delivered Duty Paid) — Incoterms 2020 International Chamber of Commerce </w:t>
      </w:r>
      <w:hyperlink r:id="rId1">
        <w:r w:rsidR="009A35ED">
          <w:rPr>
            <w:rStyle w:val="Hiperveza"/>
            <w:rFonts w:ascii="Times New Roman" w:hAnsi="Times New Roman"/>
          </w:rPr>
          <w:t>https://iccwbo.org/business-solutions/incoterms-rules/incoterms-2020/</w:t>
        </w:r>
      </w:hyperlink>
      <w:r>
        <w:rPr>
          <w:rFonts w:ascii="Times New Roman" w:hAnsi="Times New Roman"/>
        </w:rPr>
        <w:t xml:space="preserve"> </w:t>
      </w:r>
      <w:r>
        <w:rPr>
          <w:rFonts w:ascii="Times New Roman" w:hAnsi="Times New Roman"/>
          <w:lang w:val="en-GB"/>
        </w:rPr>
        <w:t>.</w:t>
      </w:r>
    </w:p>
    <w:p w14:paraId="6621CB44" w14:textId="77777777" w:rsidR="009A35ED" w:rsidRDefault="00000000">
      <w:pPr>
        <w:pStyle w:val="Tekstfusnote"/>
        <w:ind w:left="284" w:hanging="284"/>
        <w:rPr>
          <w:rFonts w:ascii="Times New Roman" w:hAnsi="Times New Roman"/>
          <w:lang w:val="en-GB"/>
        </w:rPr>
      </w:pPr>
      <w:r>
        <w:t xml:space="preserve"> </w:t>
      </w:r>
      <w:r>
        <w:rPr>
          <w:rFonts w:ascii="Times New Roman" w:hAnsi="Times New Roman"/>
          <w:lang w:val="en-GB"/>
        </w:rPr>
        <w:t>.</w:t>
      </w:r>
    </w:p>
  </w:footnote>
  <w:footnote w:id="2">
    <w:p w14:paraId="397FED6F" w14:textId="77777777" w:rsidR="009A35ED" w:rsidRDefault="00000000">
      <w:pPr>
        <w:pStyle w:val="Tekstfusnote"/>
      </w:pPr>
      <w:r>
        <w:rPr>
          <w:rStyle w:val="FootnoteCharacters"/>
        </w:rPr>
        <w:footnoteRef/>
      </w:r>
      <w:r>
        <w:tab/>
      </w:r>
      <w:proofErr w:type="spellStart"/>
      <w:r>
        <w:t>Please</w:t>
      </w:r>
      <w:proofErr w:type="spellEnd"/>
      <w:r>
        <w:t xml:space="preserve"> note </w:t>
      </w:r>
      <w:proofErr w:type="spellStart"/>
      <w:r>
        <w:t>that</w:t>
      </w:r>
      <w:proofErr w:type="spellEnd"/>
      <w:r>
        <w:t xml:space="preserve"> the EU Official Journal </w:t>
      </w:r>
      <w:proofErr w:type="spellStart"/>
      <w:r>
        <w:t>contains</w:t>
      </w:r>
      <w:proofErr w:type="spellEnd"/>
      <w:r>
        <w:t xml:space="preserve"> the official </w:t>
      </w:r>
      <w:proofErr w:type="spellStart"/>
      <w:r>
        <w:t>list</w:t>
      </w:r>
      <w:proofErr w:type="spellEnd"/>
      <w:r>
        <w:t xml:space="preserve"> of </w:t>
      </w:r>
      <w:proofErr w:type="spellStart"/>
      <w:r>
        <w:t>entities</w:t>
      </w:r>
      <w:proofErr w:type="spellEnd"/>
      <w:r>
        <w:t xml:space="preserve"> </w:t>
      </w:r>
      <w:proofErr w:type="spellStart"/>
      <w:r>
        <w:t>subject</w:t>
      </w:r>
      <w:proofErr w:type="spellEnd"/>
      <w:r>
        <w:t xml:space="preserve"> to restrictive </w:t>
      </w:r>
      <w:proofErr w:type="spellStart"/>
      <w:r>
        <w:t>measures</w:t>
      </w:r>
      <w:proofErr w:type="spellEnd"/>
      <w:r>
        <w:t xml:space="preserve"> and, in case of </w:t>
      </w:r>
      <w:proofErr w:type="spellStart"/>
      <w:r>
        <w:t>conflict</w:t>
      </w:r>
      <w:proofErr w:type="spellEnd"/>
      <w:r>
        <w:t xml:space="preserve">, </w:t>
      </w:r>
      <w:proofErr w:type="spellStart"/>
      <w:r>
        <w:t>it</w:t>
      </w:r>
      <w:proofErr w:type="spellEnd"/>
      <w:r>
        <w:t xml:space="preserve"> </w:t>
      </w:r>
      <w:proofErr w:type="spellStart"/>
      <w:r>
        <w:t>prevails</w:t>
      </w:r>
      <w:proofErr w:type="spellEnd"/>
      <w:r>
        <w:t xml:space="preserve"> over the </w:t>
      </w:r>
      <w:proofErr w:type="spellStart"/>
      <w:r>
        <w:t>list</w:t>
      </w:r>
      <w:proofErr w:type="spellEnd"/>
      <w:r>
        <w:t xml:space="preserve"> of the </w:t>
      </w:r>
      <w:hyperlink r:id="rId2" w:anchor="_blank" w:history="1">
        <w:r w:rsidR="009A35ED">
          <w:rPr>
            <w:rStyle w:val="Hiperveza"/>
            <w:i/>
            <w:iCs/>
            <w:sz w:val="18"/>
            <w:szCs w:val="18"/>
            <w:lang w:val="en-US"/>
          </w:rPr>
          <w:t>EU Sanctions Map</w:t>
        </w:r>
      </w:hyperlink>
      <w:r>
        <w:t>.</w:t>
      </w:r>
    </w:p>
  </w:footnote>
  <w:footnote w:id="3">
    <w:p w14:paraId="7BC48D38" w14:textId="77777777" w:rsidR="009A35ED" w:rsidRDefault="00000000">
      <w:pPr>
        <w:pStyle w:val="Tekstfusnote"/>
      </w:pPr>
      <w:r>
        <w:rPr>
          <w:rStyle w:val="FootnoteCharacters"/>
        </w:rPr>
        <w:footnoteRef/>
      </w:r>
      <w:r>
        <w:tab/>
      </w:r>
      <w:proofErr w:type="spellStart"/>
      <w:r>
        <w:t>See</w:t>
      </w:r>
      <w:proofErr w:type="spellEnd"/>
      <w:r>
        <w:t xml:space="preserve"> PRAG Section 2.4.2.3.(1)</w:t>
      </w:r>
    </w:p>
  </w:footnote>
  <w:footnote w:id="4">
    <w:p w14:paraId="3E6A8BA3" w14:textId="77777777" w:rsidR="009A35ED" w:rsidRDefault="00000000">
      <w:pPr>
        <w:pStyle w:val="Tekstfusnote"/>
        <w:rPr>
          <w:lang w:val="hr-HR"/>
        </w:rPr>
      </w:pPr>
      <w:r>
        <w:rPr>
          <w:rStyle w:val="FootnoteCharacters"/>
        </w:rPr>
        <w:footnoteRef/>
      </w:r>
      <w:r>
        <w:t xml:space="preserve"> </w:t>
      </w:r>
      <w:r>
        <w:rPr>
          <w:rFonts w:ascii="Calibri" w:hAnsi="Calibri" w:cs="Calibri"/>
          <w:sz w:val="18"/>
          <w:szCs w:val="18"/>
          <w:lang w:val="en-GB"/>
        </w:rPr>
        <w:t>The currency of tender shall be the currency of the contract and of payment.</w:t>
      </w:r>
    </w:p>
  </w:footnote>
  <w:footnote w:id="5">
    <w:p w14:paraId="187BD471" w14:textId="77777777" w:rsidR="009A35ED" w:rsidRDefault="00000000">
      <w:pPr>
        <w:pStyle w:val="Tekstfusnote"/>
        <w:ind w:left="142" w:hanging="142"/>
        <w:rPr>
          <w:rFonts w:ascii="Times New Roman" w:hAnsi="Times New Roman"/>
          <w:lang w:val="en-GB"/>
        </w:rPr>
      </w:pPr>
      <w:r>
        <w:rPr>
          <w:rStyle w:val="FootnoteCharacters"/>
        </w:rPr>
        <w:footnoteRef/>
      </w:r>
      <w:r>
        <w:rPr>
          <w:rFonts w:ascii="Times New Roman" w:hAnsi="Times New Roman"/>
          <w:lang w:val="en-GB"/>
        </w:rPr>
        <w:tab/>
        <w:t xml:space="preserve">[DDP (Delivered Duty Paid] — Incoterms 2020 International Chamber of Commerce </w:t>
      </w:r>
      <w:hyperlink r:id="rId3">
        <w:r w:rsidR="009A35ED">
          <w:rPr>
            <w:rStyle w:val="Hiperveza"/>
            <w:color w:val="auto"/>
          </w:rPr>
          <w:t>https://iccwbo.org/business-solutions/incoterms-rules/incoterms-2020/</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4E2EF" w14:textId="77777777" w:rsidR="00757323" w:rsidRDefault="0075732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602C4" w14:textId="1C3672C5" w:rsidR="009A35ED" w:rsidRDefault="00757323">
    <w:pPr>
      <w:pStyle w:val="Zaglavlje"/>
      <w:rPr>
        <w:b/>
        <w:bCs/>
      </w:rPr>
    </w:pPr>
    <w:r w:rsidRPr="00546EDE">
      <w:rPr>
        <w:b/>
        <w:bCs/>
        <w:noProof/>
        <w:lang w:val="hr-HR"/>
      </w:rPr>
      <w:drawing>
        <wp:inline distT="0" distB="0" distL="0" distR="0" wp14:anchorId="6FDDC309" wp14:editId="29901773">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p w14:paraId="0744D599" w14:textId="77777777" w:rsidR="009A35ED" w:rsidRDefault="009A35E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EA9BA" w14:textId="77777777" w:rsidR="00757323" w:rsidRDefault="00757323">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779" w14:textId="77777777" w:rsidR="009A35ED" w:rsidRDefault="00000000">
    <w:pPr>
      <w:pStyle w:val="Zaglavlje"/>
      <w:rPr>
        <w:b/>
        <w:bCs/>
      </w:rPr>
    </w:pPr>
    <w:r>
      <w:rPr>
        <w:noProof/>
      </w:rPr>
      <w:drawing>
        <wp:inline distT="0" distB="0" distL="0" distR="0" wp14:anchorId="326EE103" wp14:editId="62BB0415">
          <wp:extent cx="2865120" cy="853440"/>
          <wp:effectExtent l="0" t="0" r="0" b="0"/>
          <wp:docPr id="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flag with yellow dots&#10;&#10;Description automatically generated"/>
                  <pic:cNvPicPr>
                    <a:picLocks noChangeAspect="1" noChangeArrowheads="1"/>
                  </pic:cNvPicPr>
                </pic:nvPicPr>
                <pic:blipFill>
                  <a:blip r:embed="rId1"/>
                  <a:stretch>
                    <a:fillRect/>
                  </a:stretch>
                </pic:blipFill>
                <pic:spPr bwMode="auto">
                  <a:xfrm>
                    <a:off x="0" y="0"/>
                    <a:ext cx="2865120" cy="853440"/>
                  </a:xfrm>
                  <a:prstGeom prst="rect">
                    <a:avLst/>
                  </a:prstGeom>
                </pic:spPr>
              </pic:pic>
            </a:graphicData>
          </a:graphic>
        </wp:inline>
      </w:drawing>
    </w:r>
  </w:p>
  <w:p w14:paraId="21C28F7D" w14:textId="77777777" w:rsidR="009A35ED" w:rsidRDefault="009A35E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43" style="width:11.2pt;height:11.2pt" coordsize="" o:spt="100" o:bullet="t" adj="0,,0" path="" stroked="f">
        <v:stroke joinstyle="miter"/>
        <v:imagedata r:id="rId1" o:title=""/>
        <v:formulas/>
        <v:path o:connecttype="segments"/>
      </v:shape>
    </w:pict>
  </w:numPicBullet>
  <w:abstractNum w:abstractNumId="0" w15:restartNumberingAfterBreak="0">
    <w:nsid w:val="07BE2C52"/>
    <w:multiLevelType w:val="multilevel"/>
    <w:tmpl w:val="0630CCE4"/>
    <w:lvl w:ilvl="0">
      <w:start w:val="1"/>
      <w:numFmt w:val="decimal"/>
      <w:pStyle w:val="Naslov1"/>
      <w:lvlText w:val="%1."/>
      <w:lvlJc w:val="left"/>
      <w:pPr>
        <w:tabs>
          <w:tab w:val="num" w:pos="567"/>
        </w:tabs>
        <w:ind w:left="567" w:hanging="567"/>
      </w:pPr>
      <w:rPr>
        <w:b/>
        <w:i w:val="0"/>
        <w:sz w:val="28"/>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suff w:val="nothing"/>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0E0A45A5"/>
    <w:multiLevelType w:val="multilevel"/>
    <w:tmpl w:val="2FF08720"/>
    <w:lvl w:ilvl="0">
      <w:start w:val="1"/>
      <w:numFmt w:val="decimal"/>
      <w:lvlText w:val="%1.1."/>
      <w:lvlJc w:val="left"/>
      <w:pPr>
        <w:tabs>
          <w:tab w:val="num" w:pos="0"/>
        </w:tabs>
        <w:ind w:left="720" w:hanging="360"/>
      </w:pPr>
    </w:lvl>
    <w:lvl w:ilvl="1">
      <w:start w:val="1"/>
      <w:numFmt w:val="decimal"/>
      <w:lvlText w:val="%1.%2."/>
      <w:lvlJc w:val="left"/>
      <w:pPr>
        <w:tabs>
          <w:tab w:val="num" w:pos="567"/>
        </w:tabs>
        <w:ind w:left="567" w:hanging="567"/>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517960"/>
    <w:multiLevelType w:val="hybridMultilevel"/>
    <w:tmpl w:val="2DCC6930"/>
    <w:lvl w:ilvl="0" w:tplc="AC7467D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25516A"/>
    <w:multiLevelType w:val="hybridMultilevel"/>
    <w:tmpl w:val="599E63F4"/>
    <w:lvl w:ilvl="0" w:tplc="3AD69F5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31A65C2C"/>
    <w:multiLevelType w:val="multilevel"/>
    <w:tmpl w:val="87347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1AF7801"/>
    <w:multiLevelType w:val="multilevel"/>
    <w:tmpl w:val="3C1679C4"/>
    <w:lvl w:ilvl="0">
      <w:start w:val="1"/>
      <w:numFmt w:val="bullet"/>
      <w:lvlText w:val=""/>
      <w:lvlJc w:val="left"/>
      <w:pPr>
        <w:tabs>
          <w:tab w:val="num" w:pos="1211"/>
        </w:tabs>
        <w:ind w:left="1211" w:hanging="360"/>
      </w:pPr>
      <w:rPr>
        <w:rFonts w:ascii="Symbol" w:hAnsi="Symbol" w:cs="Symbol" w:hint="default"/>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cs="Wingdings" w:hint="default"/>
      </w:rPr>
    </w:lvl>
    <w:lvl w:ilvl="3">
      <w:start w:val="1"/>
      <w:numFmt w:val="bullet"/>
      <w:lvlText w:val=""/>
      <w:lvlJc w:val="left"/>
      <w:pPr>
        <w:tabs>
          <w:tab w:val="num" w:pos="3371"/>
        </w:tabs>
        <w:ind w:left="3371" w:hanging="360"/>
      </w:pPr>
      <w:rPr>
        <w:rFonts w:ascii="Symbol" w:hAnsi="Symbol" w:cs="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cs="Wingdings" w:hint="default"/>
      </w:rPr>
    </w:lvl>
    <w:lvl w:ilvl="6">
      <w:start w:val="1"/>
      <w:numFmt w:val="bullet"/>
      <w:lvlText w:val=""/>
      <w:lvlJc w:val="left"/>
      <w:pPr>
        <w:tabs>
          <w:tab w:val="num" w:pos="5531"/>
        </w:tabs>
        <w:ind w:left="5531" w:hanging="360"/>
      </w:pPr>
      <w:rPr>
        <w:rFonts w:ascii="Symbol" w:hAnsi="Symbol" w:cs="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cs="Wingdings" w:hint="default"/>
      </w:rPr>
    </w:lvl>
  </w:abstractNum>
  <w:abstractNum w:abstractNumId="8" w15:restartNumberingAfterBreak="0">
    <w:nsid w:val="5FDA79A0"/>
    <w:multiLevelType w:val="multilevel"/>
    <w:tmpl w:val="9604B692"/>
    <w:lvl w:ilvl="0">
      <w:start w:val="1"/>
      <w:numFmt w:val="bullet"/>
      <w:lvlText w:val=""/>
      <w:lvlJc w:val="left"/>
      <w:pPr>
        <w:tabs>
          <w:tab w:val="num" w:pos="0"/>
        </w:tabs>
        <w:ind w:left="1287" w:hanging="360"/>
      </w:pPr>
      <w:rPr>
        <w:rFonts w:ascii="Symbol" w:hAnsi="Symbol" w:cs="Symbol" w:hint="default"/>
      </w:rPr>
    </w:lvl>
    <w:lvl w:ilvl="1">
      <w:start w:val="3"/>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15:restartNumberingAfterBreak="0">
    <w:nsid w:val="600609AF"/>
    <w:multiLevelType w:val="multilevel"/>
    <w:tmpl w:val="041A001F"/>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48E2F55"/>
    <w:multiLevelType w:val="multilevel"/>
    <w:tmpl w:val="28C0A6B8"/>
    <w:lvl w:ilvl="0">
      <w:start w:val="1"/>
      <w:numFmt w:val="decimal"/>
      <w:lvlText w:val="%1."/>
      <w:lvlJc w:val="left"/>
      <w:pPr>
        <w:tabs>
          <w:tab w:val="num" w:pos="567"/>
        </w:tabs>
        <w:ind w:left="567" w:hanging="567"/>
      </w:pPr>
      <w:rPr>
        <w:b/>
        <w:i w:val="0"/>
        <w:sz w:val="28"/>
        <w:szCs w:val="24"/>
      </w:rPr>
    </w:lvl>
    <w:lvl w:ilvl="1">
      <w:start w:val="1"/>
      <w:numFmt w:val="decimal"/>
      <w:lvlText w:val="%1.%2"/>
      <w:lvlJc w:val="left"/>
      <w:pPr>
        <w:tabs>
          <w:tab w:val="num" w:pos="567"/>
        </w:tabs>
        <w:ind w:left="567" w:hanging="567"/>
      </w:pPr>
      <w:rPr>
        <w:b w:val="0"/>
        <w:i w:val="0"/>
        <w:sz w:val="20"/>
      </w:rPr>
    </w:lvl>
    <w:lvl w:ilvl="2">
      <w:start w:val="1"/>
      <w:numFmt w:val="lowerLetter"/>
      <w:lvlText w:val="%3)"/>
      <w:lvlJc w:val="left"/>
      <w:pPr>
        <w:tabs>
          <w:tab w:val="num" w:pos="1134"/>
        </w:tabs>
        <w:ind w:left="1134" w:hanging="567"/>
      </w:pPr>
      <w:rPr>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suff w:val="nothing"/>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37665509">
    <w:abstractNumId w:val="0"/>
  </w:num>
  <w:num w:numId="2" w16cid:durableId="186674940">
    <w:abstractNumId w:val="10"/>
  </w:num>
  <w:num w:numId="3" w16cid:durableId="1123039563">
    <w:abstractNumId w:val="9"/>
  </w:num>
  <w:num w:numId="4" w16cid:durableId="1303733558">
    <w:abstractNumId w:val="7"/>
  </w:num>
  <w:num w:numId="5" w16cid:durableId="772551896">
    <w:abstractNumId w:val="8"/>
  </w:num>
  <w:num w:numId="6" w16cid:durableId="1080828083">
    <w:abstractNumId w:val="1"/>
  </w:num>
  <w:num w:numId="7" w16cid:durableId="407725673">
    <w:abstractNumId w:val="6"/>
  </w:num>
  <w:num w:numId="8" w16cid:durableId="817067648">
    <w:abstractNumId w:val="3"/>
  </w:num>
  <w:num w:numId="9" w16cid:durableId="984041293">
    <w:abstractNumId w:val="4"/>
  </w:num>
  <w:num w:numId="10" w16cid:durableId="914050335">
    <w:abstractNumId w:val="5"/>
  </w:num>
  <w:num w:numId="11" w16cid:durableId="19196358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embedSystemFonts/>
  <w:proofState w:spelling="clean" w:grammar="clean"/>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5ED"/>
    <w:rsid w:val="00013A30"/>
    <w:rsid w:val="00025414"/>
    <w:rsid w:val="00025C22"/>
    <w:rsid w:val="00071205"/>
    <w:rsid w:val="000D0DE0"/>
    <w:rsid w:val="000D1CD8"/>
    <w:rsid w:val="00154177"/>
    <w:rsid w:val="001561D5"/>
    <w:rsid w:val="00172883"/>
    <w:rsid w:val="001D586C"/>
    <w:rsid w:val="001F5300"/>
    <w:rsid w:val="00221ABF"/>
    <w:rsid w:val="00256146"/>
    <w:rsid w:val="00296E37"/>
    <w:rsid w:val="002A1911"/>
    <w:rsid w:val="002B61FE"/>
    <w:rsid w:val="002C3E9B"/>
    <w:rsid w:val="002C49F4"/>
    <w:rsid w:val="002E049B"/>
    <w:rsid w:val="002F57A4"/>
    <w:rsid w:val="003B476F"/>
    <w:rsid w:val="003F5C2D"/>
    <w:rsid w:val="003F6B93"/>
    <w:rsid w:val="003F71EB"/>
    <w:rsid w:val="00417648"/>
    <w:rsid w:val="00425707"/>
    <w:rsid w:val="004513FC"/>
    <w:rsid w:val="004A5A43"/>
    <w:rsid w:val="004C7DA2"/>
    <w:rsid w:val="00531C43"/>
    <w:rsid w:val="0054361E"/>
    <w:rsid w:val="005553F4"/>
    <w:rsid w:val="005626E9"/>
    <w:rsid w:val="0058467F"/>
    <w:rsid w:val="005C3A26"/>
    <w:rsid w:val="00630172"/>
    <w:rsid w:val="00642B9C"/>
    <w:rsid w:val="0065108B"/>
    <w:rsid w:val="006913E8"/>
    <w:rsid w:val="00693502"/>
    <w:rsid w:val="006D3619"/>
    <w:rsid w:val="006E49F0"/>
    <w:rsid w:val="00730C4E"/>
    <w:rsid w:val="007500F3"/>
    <w:rsid w:val="00757323"/>
    <w:rsid w:val="007648F7"/>
    <w:rsid w:val="007841D1"/>
    <w:rsid w:val="007C2078"/>
    <w:rsid w:val="007C4302"/>
    <w:rsid w:val="007D168A"/>
    <w:rsid w:val="008238A9"/>
    <w:rsid w:val="00883DA5"/>
    <w:rsid w:val="008A518C"/>
    <w:rsid w:val="008C03EE"/>
    <w:rsid w:val="009325F1"/>
    <w:rsid w:val="009A35ED"/>
    <w:rsid w:val="009A6E60"/>
    <w:rsid w:val="009B39EA"/>
    <w:rsid w:val="00A224A7"/>
    <w:rsid w:val="00A32246"/>
    <w:rsid w:val="00A3328F"/>
    <w:rsid w:val="00A55406"/>
    <w:rsid w:val="00AD2A25"/>
    <w:rsid w:val="00B55B2A"/>
    <w:rsid w:val="00B9380D"/>
    <w:rsid w:val="00B95249"/>
    <w:rsid w:val="00BC28D8"/>
    <w:rsid w:val="00C21B6A"/>
    <w:rsid w:val="00C318B2"/>
    <w:rsid w:val="00C3418B"/>
    <w:rsid w:val="00C50E02"/>
    <w:rsid w:val="00C9084E"/>
    <w:rsid w:val="00CC7FA8"/>
    <w:rsid w:val="00D31F8A"/>
    <w:rsid w:val="00D47BA7"/>
    <w:rsid w:val="00D72AD3"/>
    <w:rsid w:val="00D86781"/>
    <w:rsid w:val="00DB69B9"/>
    <w:rsid w:val="00DC4283"/>
    <w:rsid w:val="00E462B3"/>
    <w:rsid w:val="00E56854"/>
    <w:rsid w:val="00ED0BF3"/>
    <w:rsid w:val="00F03440"/>
    <w:rsid w:val="00F84395"/>
    <w:rsid w:val="00FB1A3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AC600"/>
  <w15:docId w15:val="{F3B9EE4D-5CE1-4538-9A29-5280AE793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lang w:val="en-GB"/>
    </w:rPr>
  </w:style>
  <w:style w:type="paragraph" w:styleId="Naslov1">
    <w:name w:val="heading 1"/>
    <w:basedOn w:val="Normal"/>
    <w:next w:val="Normal"/>
    <w:link w:val="Naslov1Char"/>
    <w:autoRedefine/>
    <w:qFormat/>
    <w:rsid w:val="00E700D5"/>
    <w:pPr>
      <w:keepNext/>
      <w:numPr>
        <w:numId w:val="1"/>
      </w:numPr>
      <w:spacing w:before="240" w:after="240"/>
      <w:outlineLvl w:val="0"/>
    </w:pPr>
    <w:rPr>
      <w:rFonts w:ascii="Times New Roman" w:hAnsi="Times New Roman"/>
      <w:b/>
      <w:sz w:val="28"/>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outlineLvl w:val="2"/>
    </w:pPr>
  </w:style>
  <w:style w:type="paragraph" w:styleId="Naslov4">
    <w:name w:val="heading 4"/>
    <w:basedOn w:val="Normal"/>
    <w:next w:val="Normal"/>
    <w:link w:val="Naslov4Char"/>
    <w:qFormat/>
    <w:pPr>
      <w:keepNext/>
      <w:numPr>
        <w:ilvl w:val="3"/>
        <w:numId w:val="1"/>
      </w:numPr>
      <w:spacing w:before="240" w:after="60"/>
      <w:outlineLvl w:val="3"/>
    </w:pPr>
    <w:rPr>
      <w:b/>
      <w:sz w:val="24"/>
    </w:rPr>
  </w:style>
  <w:style w:type="paragraph" w:styleId="Naslov5">
    <w:name w:val="heading 5"/>
    <w:basedOn w:val="Normal"/>
    <w:next w:val="Normal"/>
    <w:link w:val="Naslov5Char"/>
    <w:qFormat/>
    <w:pPr>
      <w:numPr>
        <w:ilvl w:val="4"/>
        <w:numId w:val="1"/>
      </w:numPr>
      <w:spacing w:before="240" w:after="60"/>
      <w:outlineLvl w:val="4"/>
    </w:pPr>
    <w:rPr>
      <w:sz w:val="22"/>
    </w:rPr>
  </w:style>
  <w:style w:type="paragraph" w:styleId="Naslov6">
    <w:name w:val="heading 6"/>
    <w:basedOn w:val="Normal"/>
    <w:next w:val="Normal"/>
    <w:link w:val="Naslov6Char"/>
    <w:qFormat/>
    <w:pPr>
      <w:numPr>
        <w:ilvl w:val="5"/>
        <w:numId w:val="1"/>
      </w:numPr>
      <w:tabs>
        <w:tab w:val="left"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1"/>
      </w:numPr>
      <w:spacing w:before="240" w:after="60"/>
      <w:outlineLvl w:val="6"/>
    </w:pPr>
  </w:style>
  <w:style w:type="paragraph" w:styleId="Naslov8">
    <w:name w:val="heading 8"/>
    <w:basedOn w:val="Normal"/>
    <w:next w:val="Normal"/>
    <w:link w:val="Naslov8Char"/>
    <w:qFormat/>
    <w:pPr>
      <w:numPr>
        <w:ilvl w:val="7"/>
        <w:numId w:val="1"/>
      </w:numPr>
      <w:spacing w:before="240" w:after="60"/>
      <w:outlineLvl w:val="7"/>
    </w:pPr>
    <w:rPr>
      <w:i/>
    </w:rPr>
  </w:style>
  <w:style w:type="paragraph" w:styleId="Naslov9">
    <w:name w:val="heading 9"/>
    <w:basedOn w:val="Normal"/>
    <w:next w:val="Normal"/>
    <w:link w:val="Naslov9Char"/>
    <w:qFormat/>
    <w:pPr>
      <w:numPr>
        <w:ilvl w:val="8"/>
        <w:numId w:val="1"/>
      </w:numPr>
      <w:spacing w:before="240" w:after="60"/>
      <w:outlineLvl w:val="8"/>
    </w:pPr>
    <w:rPr>
      <w:b/>
      <w:i/>
      <w:sz w:val="1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Brojstranice">
    <w:name w:val="page number"/>
    <w:basedOn w:val="Zadanifontodlomka"/>
    <w:qFormat/>
  </w:style>
  <w:style w:type="character" w:styleId="Hiperveza">
    <w:name w:val="Hyperlink"/>
    <w:rPr>
      <w:color w:val="0000FF"/>
      <w:u w:val="single"/>
    </w:rPr>
  </w:style>
  <w:style w:type="character" w:customStyle="1" w:styleId="FootnoteCharacters">
    <w:name w:val="Footnote Characters"/>
    <w:link w:val="CharCharChar"/>
    <w:qFormat/>
    <w:rPr>
      <w:vertAlign w:val="superscript"/>
    </w:rPr>
  </w:style>
  <w:style w:type="character" w:customStyle="1" w:styleId="FootnoteAnchor">
    <w:name w:val="Footnote Anchor"/>
    <w:rPr>
      <w:vertAlign w:val="superscript"/>
    </w:rPr>
  </w:style>
  <w:style w:type="character" w:styleId="Naglaeno">
    <w:name w:val="Strong"/>
    <w:qFormat/>
    <w:rPr>
      <w:b/>
    </w:rPr>
  </w:style>
  <w:style w:type="character" w:styleId="SlijeenaHiperveza">
    <w:name w:val="FollowedHyperlink"/>
    <w:rPr>
      <w:color w:val="800080"/>
      <w:u w:val="single"/>
    </w:rPr>
  </w:style>
  <w:style w:type="character" w:customStyle="1" w:styleId="Naslov2Char">
    <w:name w:val="Naslov 2 Char"/>
    <w:link w:val="Naslov2"/>
    <w:semiHidden/>
    <w:qFormat/>
    <w:locked/>
    <w:rsid w:val="0047783A"/>
    <w:rPr>
      <w:rFonts w:ascii="Arial" w:hAnsi="Arial"/>
      <w:lang w:val="fr-BE" w:eastAsia="en-US" w:bidi="ar-SA"/>
    </w:rPr>
  </w:style>
  <w:style w:type="character" w:customStyle="1" w:styleId="Naslov1Char">
    <w:name w:val="Naslov 1 Char"/>
    <w:link w:val="Naslov1"/>
    <w:qFormat/>
    <w:rsid w:val="00E700D5"/>
    <w:rPr>
      <w:b/>
      <w:sz w:val="28"/>
      <w:lang w:val="fr-BE"/>
    </w:rPr>
  </w:style>
  <w:style w:type="character" w:customStyle="1" w:styleId="Heading1Char">
    <w:name w:val="Heading 1 Char"/>
    <w:qFormat/>
    <w:locked/>
    <w:rsid w:val="0047783A"/>
    <w:rPr>
      <w:b/>
      <w:sz w:val="24"/>
      <w:szCs w:val="24"/>
      <w:lang w:val="en-GB" w:eastAsia="en-US" w:bidi="ar-SA"/>
    </w:rPr>
  </w:style>
  <w:style w:type="character" w:customStyle="1" w:styleId="Naslov3Char">
    <w:name w:val="Naslov 3 Char"/>
    <w:link w:val="Naslov3"/>
    <w:semiHidden/>
    <w:qFormat/>
    <w:locked/>
    <w:rsid w:val="0047783A"/>
    <w:rPr>
      <w:rFonts w:ascii="Arial" w:hAnsi="Arial"/>
      <w:lang w:val="en-GB" w:eastAsia="en-US" w:bidi="ar-SA"/>
    </w:rPr>
  </w:style>
  <w:style w:type="character" w:customStyle="1" w:styleId="Naslov4Char">
    <w:name w:val="Naslov 4 Char"/>
    <w:link w:val="Naslov4"/>
    <w:semiHidden/>
    <w:qFormat/>
    <w:locked/>
    <w:rsid w:val="0047783A"/>
    <w:rPr>
      <w:rFonts w:ascii="Arial" w:hAnsi="Arial"/>
      <w:b/>
      <w:sz w:val="24"/>
      <w:lang w:val="sv-SE" w:eastAsia="en-US" w:bidi="ar-SA"/>
    </w:rPr>
  </w:style>
  <w:style w:type="character" w:customStyle="1" w:styleId="Naslov5Char">
    <w:name w:val="Naslov 5 Char"/>
    <w:link w:val="Naslov5"/>
    <w:semiHidden/>
    <w:qFormat/>
    <w:locked/>
    <w:rsid w:val="0047783A"/>
    <w:rPr>
      <w:rFonts w:ascii="Arial" w:hAnsi="Arial"/>
      <w:sz w:val="22"/>
      <w:lang w:val="sv-SE" w:eastAsia="en-US" w:bidi="ar-SA"/>
    </w:rPr>
  </w:style>
  <w:style w:type="character" w:customStyle="1" w:styleId="Naslov6Char">
    <w:name w:val="Naslov 6 Char"/>
    <w:link w:val="Naslov6"/>
    <w:semiHidden/>
    <w:qFormat/>
    <w:locked/>
    <w:rsid w:val="0047783A"/>
    <w:rPr>
      <w:rFonts w:ascii="Arial" w:hAnsi="Arial"/>
      <w:i/>
      <w:sz w:val="22"/>
      <w:lang w:val="sv-SE" w:eastAsia="en-US" w:bidi="ar-SA"/>
    </w:rPr>
  </w:style>
  <w:style w:type="character" w:customStyle="1" w:styleId="Naslov7Char">
    <w:name w:val="Naslov 7 Char"/>
    <w:link w:val="Naslov7"/>
    <w:semiHidden/>
    <w:qFormat/>
    <w:locked/>
    <w:rsid w:val="0047783A"/>
    <w:rPr>
      <w:rFonts w:ascii="Arial" w:hAnsi="Arial"/>
      <w:lang w:val="sv-SE" w:eastAsia="en-US" w:bidi="ar-SA"/>
    </w:rPr>
  </w:style>
  <w:style w:type="character" w:customStyle="1" w:styleId="Naslov8Char">
    <w:name w:val="Naslov 8 Char"/>
    <w:link w:val="Naslov8"/>
    <w:semiHidden/>
    <w:qFormat/>
    <w:locked/>
    <w:rsid w:val="0047783A"/>
    <w:rPr>
      <w:rFonts w:ascii="Arial" w:hAnsi="Arial"/>
      <w:i/>
      <w:lang w:val="sv-SE" w:eastAsia="en-US" w:bidi="ar-SA"/>
    </w:rPr>
  </w:style>
  <w:style w:type="character" w:customStyle="1" w:styleId="Naslov9Char">
    <w:name w:val="Naslov 9 Char"/>
    <w:link w:val="Naslov9"/>
    <w:semiHidden/>
    <w:qFormat/>
    <w:locked/>
    <w:rsid w:val="0047783A"/>
    <w:rPr>
      <w:rFonts w:ascii="Arial" w:hAnsi="Arial"/>
      <w:b/>
      <w:i/>
      <w:sz w:val="18"/>
      <w:lang w:val="sv-SE" w:eastAsia="en-US" w:bidi="ar-SA"/>
    </w:rPr>
  </w:style>
  <w:style w:type="character" w:customStyle="1" w:styleId="NaslovChar">
    <w:name w:val="Naslov Char"/>
    <w:link w:val="Naslov"/>
    <w:qFormat/>
    <w:locked/>
    <w:rsid w:val="0047783A"/>
    <w:rPr>
      <w:rFonts w:ascii="Arial" w:hAnsi="Arial"/>
      <w:b/>
      <w:sz w:val="28"/>
      <w:lang w:val="fr-BE" w:eastAsia="en-US" w:bidi="ar-SA"/>
    </w:rPr>
  </w:style>
  <w:style w:type="character" w:customStyle="1" w:styleId="PodnaslovChar">
    <w:name w:val="Podnaslov Char"/>
    <w:link w:val="Podnaslov"/>
    <w:qFormat/>
    <w:locked/>
    <w:rsid w:val="0047783A"/>
    <w:rPr>
      <w:rFonts w:ascii="Arial" w:hAnsi="Arial"/>
      <w:b/>
      <w:sz w:val="28"/>
      <w:lang w:val="fr-BE" w:eastAsia="en-US" w:bidi="ar-SA"/>
    </w:rPr>
  </w:style>
  <w:style w:type="character" w:customStyle="1" w:styleId="UvuenotijelotekstaChar">
    <w:name w:val="Uvučeno tijelo teksta Char"/>
    <w:link w:val="Uvuenotijeloteksta"/>
    <w:semiHidden/>
    <w:qFormat/>
    <w:locked/>
    <w:rsid w:val="0047783A"/>
    <w:rPr>
      <w:sz w:val="24"/>
      <w:lang w:val="sv-SE" w:eastAsia="en-US" w:bidi="ar-SA"/>
    </w:rPr>
  </w:style>
  <w:style w:type="character" w:customStyle="1" w:styleId="TijelotekstaChar">
    <w:name w:val="Tijelo teksta Char"/>
    <w:link w:val="Tijeloteksta"/>
    <w:semiHidden/>
    <w:qFormat/>
    <w:locked/>
    <w:rsid w:val="0047783A"/>
    <w:rPr>
      <w:rFonts w:ascii="Arial" w:hAnsi="Arial"/>
      <w:lang w:val="sv-SE" w:eastAsia="en-US" w:bidi="ar-SA"/>
    </w:rPr>
  </w:style>
  <w:style w:type="character" w:customStyle="1" w:styleId="Tijeloteksta-uvlaka2Char">
    <w:name w:val="Tijelo teksta - uvlaka 2 Char"/>
    <w:semiHidden/>
    <w:qFormat/>
    <w:locked/>
    <w:rsid w:val="0047783A"/>
    <w:rPr>
      <w:rFonts w:ascii="Arial" w:hAnsi="Arial"/>
      <w:sz w:val="24"/>
      <w:u w:val="single"/>
      <w:lang w:val="sv-SE" w:eastAsia="en-US" w:bidi="ar-SA"/>
    </w:rPr>
  </w:style>
  <w:style w:type="character" w:customStyle="1" w:styleId="Tijeloteksta-uvlaka3Char">
    <w:name w:val="Tijelo teksta - uvlaka 3 Char"/>
    <w:semiHidden/>
    <w:qFormat/>
    <w:locked/>
    <w:rsid w:val="0047783A"/>
    <w:rPr>
      <w:rFonts w:ascii="Arial" w:hAnsi="Arial"/>
      <w:sz w:val="24"/>
      <w:lang w:val="sv-SE" w:eastAsia="en-US" w:bidi="ar-SA"/>
    </w:rPr>
  </w:style>
  <w:style w:type="character" w:customStyle="1" w:styleId="ZaglavljeChar">
    <w:name w:val="Zaglavlje Char"/>
    <w:link w:val="Zaglavlje"/>
    <w:semiHidden/>
    <w:qFormat/>
    <w:locked/>
    <w:rsid w:val="0047783A"/>
    <w:rPr>
      <w:rFonts w:ascii="Arial" w:hAnsi="Arial"/>
      <w:lang w:val="sv-SE" w:eastAsia="en-US" w:bidi="ar-SA"/>
    </w:rPr>
  </w:style>
  <w:style w:type="character" w:customStyle="1" w:styleId="PodnojeChar">
    <w:name w:val="Podnožje Char"/>
    <w:link w:val="Podnoje"/>
    <w:semiHidden/>
    <w:qFormat/>
    <w:locked/>
    <w:rsid w:val="0047783A"/>
    <w:rPr>
      <w:rFonts w:ascii="Arial" w:hAnsi="Arial"/>
      <w:lang w:val="sv-SE" w:eastAsia="en-US" w:bidi="ar-SA"/>
    </w:rPr>
  </w:style>
  <w:style w:type="character" w:customStyle="1" w:styleId="Tijeloteksta3Char">
    <w:name w:val="Tijelo teksta 3 Char"/>
    <w:link w:val="Tijeloteksta3"/>
    <w:semiHidden/>
    <w:qFormat/>
    <w:locked/>
    <w:rsid w:val="0047783A"/>
    <w:rPr>
      <w:rFonts w:ascii="Arial" w:hAnsi="Arial"/>
      <w:b/>
      <w:sz w:val="24"/>
      <w:lang w:val="en-GB" w:eastAsia="en-US" w:bidi="ar-SA"/>
    </w:rPr>
  </w:style>
  <w:style w:type="character" w:customStyle="1" w:styleId="TekstfusnoteChar">
    <w:name w:val="Tekst fusnote Char"/>
    <w:link w:val="Tekstfusnote"/>
    <w:uiPriority w:val="99"/>
    <w:qFormat/>
    <w:locked/>
    <w:rsid w:val="0047783A"/>
    <w:rPr>
      <w:rFonts w:ascii="Arial" w:hAnsi="Arial"/>
      <w:lang w:val="fr-FR" w:eastAsia="en-US" w:bidi="ar-SA"/>
    </w:rPr>
  </w:style>
  <w:style w:type="character" w:customStyle="1" w:styleId="KartadokumentaChar">
    <w:name w:val="Karta dokumenta Char"/>
    <w:link w:val="Kartadokumenta"/>
    <w:semiHidden/>
    <w:qFormat/>
    <w:locked/>
    <w:rsid w:val="0047783A"/>
    <w:rPr>
      <w:rFonts w:ascii="Arial" w:hAnsi="Arial"/>
      <w:sz w:val="24"/>
      <w:lang w:val="fr-FR" w:eastAsia="en-US" w:bidi="ar-SA"/>
    </w:rPr>
  </w:style>
  <w:style w:type="character" w:customStyle="1" w:styleId="Tijeloteksta2Char">
    <w:name w:val="Tijelo teksta 2 Char"/>
    <w:link w:val="Tijeloteksta2"/>
    <w:semiHidden/>
    <w:qFormat/>
    <w:locked/>
    <w:rsid w:val="0047783A"/>
    <w:rPr>
      <w:sz w:val="24"/>
      <w:lang w:val="sv-SE" w:eastAsia="en-GB" w:bidi="ar-SA"/>
    </w:rPr>
  </w:style>
  <w:style w:type="character" w:customStyle="1" w:styleId="EndnoteCharacters">
    <w:name w:val="Endnote Characters"/>
    <w:semiHidden/>
    <w:qFormat/>
    <w:rsid w:val="0047783A"/>
    <w:rPr>
      <w:vertAlign w:val="superscript"/>
    </w:rPr>
  </w:style>
  <w:style w:type="character" w:customStyle="1" w:styleId="EndnoteAnchor">
    <w:name w:val="Endnote Anchor"/>
    <w:rPr>
      <w:vertAlign w:val="superscript"/>
    </w:rPr>
  </w:style>
  <w:style w:type="character" w:customStyle="1" w:styleId="Style11pt">
    <w:name w:val="Style 11 pt"/>
    <w:qFormat/>
    <w:rsid w:val="0047783A"/>
    <w:rPr>
      <w:sz w:val="22"/>
    </w:rPr>
  </w:style>
  <w:style w:type="character" w:styleId="Referencakomentara">
    <w:name w:val="annotation reference"/>
    <w:qFormat/>
    <w:rsid w:val="00EE23B1"/>
    <w:rPr>
      <w:sz w:val="16"/>
      <w:szCs w:val="16"/>
    </w:rPr>
  </w:style>
  <w:style w:type="character" w:customStyle="1" w:styleId="TekstkomentaraChar">
    <w:name w:val="Tekst komentara Char"/>
    <w:link w:val="Tekstkomentara"/>
    <w:qFormat/>
    <w:rsid w:val="00DA4D57"/>
    <w:rPr>
      <w:rFonts w:ascii="Arial" w:hAnsi="Arial"/>
      <w:lang w:eastAsia="en-US"/>
    </w:rPr>
  </w:style>
  <w:style w:type="character" w:styleId="Istaknuto">
    <w:name w:val="Emphasis"/>
    <w:qFormat/>
    <w:rsid w:val="00452496"/>
    <w:rPr>
      <w:i/>
    </w:rPr>
  </w:style>
  <w:style w:type="character" w:customStyle="1" w:styleId="UnresolvedMention1">
    <w:name w:val="Unresolved Mention1"/>
    <w:uiPriority w:val="99"/>
    <w:semiHidden/>
    <w:unhideWhenUsed/>
    <w:qFormat/>
    <w:rsid w:val="007816DB"/>
    <w:rPr>
      <w:color w:val="808080"/>
      <w:shd w:val="clear" w:color="auto" w:fill="E6E6E6"/>
    </w:rPr>
  </w:style>
  <w:style w:type="character" w:styleId="Nerijeenospominjanje">
    <w:name w:val="Unresolved Mention"/>
    <w:basedOn w:val="Zadanifontodlomka"/>
    <w:uiPriority w:val="99"/>
    <w:semiHidden/>
    <w:unhideWhenUsed/>
    <w:qFormat/>
    <w:rsid w:val="00C412EA"/>
    <w:rPr>
      <w:color w:val="605E5C"/>
      <w:shd w:val="clear" w:color="auto" w:fill="E1DFDD"/>
    </w:rPr>
  </w:style>
  <w:style w:type="paragraph" w:customStyle="1" w:styleId="Heading">
    <w:name w:val="Heading"/>
    <w:basedOn w:val="Normal"/>
    <w:next w:val="Tijeloteksta"/>
    <w:qFormat/>
    <w:pPr>
      <w:keepNext/>
      <w:spacing w:before="240"/>
    </w:pPr>
    <w:rPr>
      <w:rFonts w:ascii="Liberation Sans" w:eastAsia="Noto Sans CJK SC" w:hAnsi="Liberation Sans" w:cs="Lohit Devanagari"/>
      <w:sz w:val="28"/>
      <w:szCs w:val="28"/>
    </w:rPr>
  </w:style>
  <w:style w:type="paragraph" w:styleId="Tijeloteksta">
    <w:name w:val="Body Text"/>
    <w:basedOn w:val="Normal"/>
    <w:link w:val="TijelotekstaChar"/>
  </w:style>
  <w:style w:type="paragraph" w:styleId="Popis">
    <w:name w:val="List"/>
    <w:basedOn w:val="Tijeloteksta"/>
    <w:rPr>
      <w:rFonts w:cs="Lohit Devanagari"/>
    </w:rPr>
  </w:style>
  <w:style w:type="paragraph" w:styleId="Opisslike">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left" w:pos="567"/>
      </w:tabs>
      <w:spacing w:before="0" w:after="0"/>
      <w:jc w:val="both"/>
    </w:pPr>
    <w:rPr>
      <w:rFonts w:ascii="Times New Roman" w:hAnsi="Times New Roman"/>
      <w:sz w:val="24"/>
    </w:rPr>
  </w:style>
  <w:style w:type="paragraph" w:styleId="Tijeloteksta-uvlaka2">
    <w:name w:val="Body Text Indent 2"/>
    <w:basedOn w:val="Normal"/>
    <w:qFormat/>
    <w:pPr>
      <w:tabs>
        <w:tab w:val="left" w:pos="567"/>
        <w:tab w:val="left" w:pos="2160"/>
      </w:tabs>
      <w:spacing w:after="240"/>
      <w:ind w:left="567" w:hanging="567"/>
      <w:jc w:val="both"/>
    </w:pPr>
    <w:rPr>
      <w:sz w:val="24"/>
      <w:u w:val="single"/>
    </w:rPr>
  </w:style>
  <w:style w:type="paragraph" w:styleId="Tijeloteksta-uvlaka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rPr>
  </w:style>
  <w:style w:type="paragraph" w:customStyle="1" w:styleId="HeaderandFooter">
    <w:name w:val="Header and Footer"/>
    <w:basedOn w:val="Normal"/>
    <w:qFormat/>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paragraph" w:styleId="Tijeloteksta3">
    <w:name w:val="Body Text 3"/>
    <w:basedOn w:val="Normal"/>
    <w:link w:val="Tijeloteksta3Char"/>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styleId="Tekstfusnote">
    <w:name w:val="footnote text"/>
    <w:basedOn w:val="Normal"/>
    <w:link w:val="TekstfusnoteChar"/>
    <w:uiPriority w:val="99"/>
    <w:qFormat/>
    <w:rPr>
      <w:lang w:val="fr-FR"/>
    </w:rPr>
  </w:style>
  <w:style w:type="paragraph" w:styleId="Kartadokumenta">
    <w:name w:val="Document Map"/>
    <w:basedOn w:val="Normal"/>
    <w:link w:val="KartadokumentaChar"/>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qFormat/>
    <w:pPr>
      <w:spacing w:after="240"/>
      <w:jc w:val="center"/>
    </w:pPr>
    <w:rPr>
      <w:b/>
      <w:sz w:val="40"/>
    </w:rPr>
  </w:style>
  <w:style w:type="paragraph" w:customStyle="1" w:styleId="SubTitle2">
    <w:name w:val="SubTitle 2"/>
    <w:basedOn w:val="Normal"/>
    <w:qFormat/>
    <w:pPr>
      <w:spacing w:after="240"/>
      <w:jc w:val="center"/>
    </w:pPr>
    <w:rPr>
      <w:b/>
      <w:sz w:val="32"/>
    </w:rPr>
  </w:style>
  <w:style w:type="paragraph" w:customStyle="1" w:styleId="Annexetitle">
    <w:name w:val="Annexe_title"/>
    <w:basedOn w:val="Naslov1"/>
    <w:next w:val="Normal"/>
    <w:autoRedefine/>
    <w:qFormat/>
    <w:pPr>
      <w:keepNext w:val="0"/>
      <w:pageBreakBefore/>
      <w:numPr>
        <w:numId w:val="0"/>
      </w:numPr>
      <w:tabs>
        <w:tab w:val="left" w:pos="567"/>
        <w:tab w:val="left" w:pos="2552"/>
        <w:tab w:val="left" w:pos="7938"/>
        <w:tab w:val="left" w:pos="9072"/>
      </w:tabs>
      <w:spacing w:before="0" w:after="0"/>
    </w:pPr>
    <w:rPr>
      <w:caps/>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Tijeloteksta2">
    <w:name w:val="Body Text 2"/>
    <w:basedOn w:val="Normal"/>
    <w:link w:val="Tijeloteksta2Char"/>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qFormat/>
    <w:rsid w:val="00DE13B8"/>
    <w:rPr>
      <w:rFonts w:ascii="Tahoma" w:hAnsi="Tahoma" w:cs="Tahoma"/>
      <w:sz w:val="16"/>
      <w:szCs w:val="16"/>
    </w:rPr>
  </w:style>
  <w:style w:type="paragraph" w:customStyle="1" w:styleId="StyleHeading1TimesNewRoman14ptItalic">
    <w:name w:val="Style Heading 1 + Times New Roman 14 pt Italic"/>
    <w:basedOn w:val="Naslov1"/>
    <w:autoRedefine/>
    <w:qFormat/>
    <w:rsid w:val="00A4424B"/>
    <w:pPr>
      <w:numPr>
        <w:numId w:val="0"/>
      </w:numPr>
      <w:spacing w:before="120" w:after="120"/>
    </w:pPr>
    <w:rPr>
      <w:bCs/>
      <w:iCs/>
      <w:sz w:val="24"/>
      <w:szCs w:val="24"/>
    </w:rPr>
  </w:style>
  <w:style w:type="paragraph" w:customStyle="1" w:styleId="StyleHeading3">
    <w:name w:val="Style Heading 3"/>
    <w:basedOn w:val="Normal"/>
    <w:qFormat/>
    <w:rsid w:val="0047783A"/>
    <w:pPr>
      <w:tabs>
        <w:tab w:val="left" w:pos="567"/>
      </w:tabs>
      <w:ind w:left="1134" w:hanging="567"/>
    </w:pPr>
  </w:style>
  <w:style w:type="paragraph" w:customStyle="1" w:styleId="Style11ptBlackJustifiedRight001cmBefore865ptL">
    <w:name w:val="Style 11 pt Black Justified Right:  001 cm Before:  865 pt L..."/>
    <w:basedOn w:val="Normal"/>
    <w:next w:val="Normal"/>
    <w:autoRedefine/>
    <w:qFormat/>
    <w:rsid w:val="0047783A"/>
    <w:p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paragraph" w:styleId="Tekstkrajnjebiljeke">
    <w:name w:val="endnote text"/>
    <w:basedOn w:val="Normal"/>
    <w:semiHidden/>
    <w:rsid w:val="0047783A"/>
  </w:style>
  <w:style w:type="paragraph" w:customStyle="1" w:styleId="NormalInd1">
    <w:name w:val="Normal Ind 1"/>
    <w:basedOn w:val="Normal"/>
    <w:qFormat/>
    <w:rsid w:val="0047783A"/>
    <w:pPr>
      <w:tabs>
        <w:tab w:val="left" w:pos="2268"/>
      </w:tabs>
      <w:spacing w:before="0" w:after="0"/>
      <w:ind w:left="567"/>
      <w:textAlignment w:val="baseline"/>
    </w:pPr>
    <w:rPr>
      <w:rFonts w:ascii="Times New Roman" w:hAnsi="Times New Roman"/>
      <w:bCs/>
      <w:sz w:val="22"/>
      <w:szCs w:val="22"/>
      <w:lang w:val="fr-FR"/>
    </w:rPr>
  </w:style>
  <w:style w:type="paragraph" w:customStyle="1" w:styleId="Char2">
    <w:name w:val="Char2"/>
    <w:basedOn w:val="Normal"/>
    <w:qFormat/>
    <w:rsid w:val="0047783A"/>
    <w:pPr>
      <w:spacing w:before="0" w:after="160" w:line="240" w:lineRule="exact"/>
    </w:pPr>
    <w:rPr>
      <w:rFonts w:ascii="Tahoma" w:hAnsi="Tahoma"/>
      <w:lang w:val="en-US"/>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qFormat/>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z w:val="22"/>
      <w:szCs w:val="22"/>
    </w:rPr>
  </w:style>
  <w:style w:type="paragraph" w:customStyle="1" w:styleId="PRAGHeading2">
    <w:name w:val="PRAG Heading 2"/>
    <w:basedOn w:val="Normal"/>
    <w:qFormat/>
    <w:rsid w:val="00123EDC"/>
    <w:pPr>
      <w:widowControl w:val="0"/>
      <w:spacing w:before="100" w:after="100"/>
    </w:pPr>
    <w:rPr>
      <w:rFonts w:ascii="Times New Roman" w:hAnsi="Times New Roman"/>
      <w:sz w:val="24"/>
      <w:lang w:val="fr-FR"/>
    </w:rPr>
  </w:style>
  <w:style w:type="paragraph" w:customStyle="1" w:styleId="Text1">
    <w:name w:val="Text 1"/>
    <w:basedOn w:val="Normal"/>
    <w:qFormat/>
    <w:rsid w:val="002156A5"/>
    <w:pPr>
      <w:ind w:left="850"/>
      <w:jc w:val="both"/>
    </w:pPr>
    <w:rPr>
      <w:rFonts w:ascii="Times New Roman" w:eastAsia="Calibri" w:hAnsi="Times New Roman"/>
      <w:sz w:val="24"/>
      <w:szCs w:val="22"/>
    </w:rPr>
  </w:style>
  <w:style w:type="paragraph" w:customStyle="1" w:styleId="Text2">
    <w:name w:val="Text 2"/>
    <w:basedOn w:val="Normal"/>
    <w:qFormat/>
    <w:rsid w:val="002156A5"/>
    <w:pPr>
      <w:ind w:left="1417"/>
      <w:jc w:val="both"/>
    </w:pPr>
    <w:rPr>
      <w:rFonts w:ascii="Times New Roman" w:eastAsia="Calibri" w:hAnsi="Times New Roman"/>
      <w:sz w:val="24"/>
      <w:szCs w:val="22"/>
    </w:rPr>
  </w:style>
  <w:style w:type="paragraph" w:customStyle="1" w:styleId="doc-ti">
    <w:name w:val="doc-ti"/>
    <w:basedOn w:val="Normal"/>
    <w:qFormat/>
    <w:rsid w:val="007816DB"/>
    <w:pPr>
      <w:spacing w:beforeAutospacing="1" w:afterAutospacing="1"/>
    </w:pPr>
    <w:rPr>
      <w:rFonts w:ascii="Times New Roman" w:hAnsi="Times New Roman"/>
      <w:sz w:val="24"/>
      <w:szCs w:val="24"/>
      <w:lang w:val="hr-HR" w:eastAsia="hr-HR"/>
    </w:rPr>
  </w:style>
  <w:style w:type="paragraph" w:customStyle="1" w:styleId="Default">
    <w:name w:val="Default"/>
    <w:qFormat/>
    <w:rsid w:val="0056387A"/>
    <w:rPr>
      <w:rFonts w:ascii="Arial" w:eastAsia="Calibri" w:hAnsi="Arial" w:cs="Arial"/>
      <w:color w:val="000000"/>
      <w:sz w:val="24"/>
      <w:szCs w:val="24"/>
      <w:lang w:val="hr-HR"/>
    </w:rPr>
  </w:style>
  <w:style w:type="paragraph" w:styleId="Revizija">
    <w:name w:val="Revision"/>
    <w:uiPriority w:val="99"/>
    <w:semiHidden/>
    <w:qFormat/>
    <w:rsid w:val="009808CE"/>
    <w:rPr>
      <w:rFonts w:ascii="Arial" w:hAnsi="Arial"/>
      <w:lang w:val="en-GB"/>
    </w:rPr>
  </w:style>
  <w:style w:type="paragraph" w:customStyle="1" w:styleId="CharCharChar">
    <w:name w:val="Char Char Char"/>
    <w:basedOn w:val="Normal"/>
    <w:link w:val="FootnoteCharacters"/>
    <w:qFormat/>
    <w:rsid w:val="00951828"/>
    <w:pPr>
      <w:spacing w:before="0" w:after="0" w:line="240" w:lineRule="exact"/>
    </w:pPr>
    <w:rPr>
      <w:rFonts w:ascii="Times New Roman" w:hAnsi="Times New Roman"/>
      <w:vertAlign w:val="superscript"/>
      <w:lang w:val="en-U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fusnote">
    <w:name w:val="footnote reference"/>
    <w:rsid w:val="006913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0176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ikis.ec.europa.eu/display/ExactExternalWiki/Annex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kbm.ba/"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iccwbo.org/business-solutions/incoterms-rules/incoterms-2020/" TargetMode="External"/><Relationship Id="rId2" Type="http://schemas.openxmlformats.org/officeDocument/2006/relationships/hyperlink" Target="https://www.sanctionsmap.eu/" TargetMode="External"/><Relationship Id="rId1" Type="http://schemas.openxmlformats.org/officeDocument/2006/relationships/hyperlink" Target="https://iccwbo.org/business-solutions/incoterms-rules/incoterm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772D-FEFC-4861-9219-2F7A12AB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15</Pages>
  <Words>6350</Words>
  <Characters>36201</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Korisnik</cp:lastModifiedBy>
  <cp:revision>2</cp:revision>
  <cp:lastPrinted>2015-12-04T10:44:00Z</cp:lastPrinted>
  <dcterms:created xsi:type="dcterms:W3CDTF">2026-02-18T07:36:00Z</dcterms:created>
  <dcterms:modified xsi:type="dcterms:W3CDTF">2026-07-31T07:08:00Z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